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theme/themeOverride13.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E920B">
      <w:pPr>
        <w:pStyle w:val="2"/>
        <w:spacing w:before="312"/>
      </w:pPr>
      <w:bookmarkStart w:id="0" w:name="_Toc176025886"/>
      <w:bookmarkStart w:id="1" w:name="_Toc396754272"/>
      <w:bookmarkStart w:id="2" w:name="_Toc27821973"/>
      <w:bookmarkStart w:id="3" w:name="_Toc429388985"/>
      <w:bookmarkStart w:id="4" w:name="_Toc66346832"/>
      <w:r>
        <w:rPr>
          <w:rFonts w:hint="eastAsia"/>
        </w:rPr>
        <w:t>第一章 中国工程监理行业发展现状分析</w:t>
      </w:r>
      <w:bookmarkEnd w:id="0"/>
      <w:bookmarkEnd w:id="1"/>
      <w:bookmarkEnd w:id="2"/>
      <w:bookmarkEnd w:id="3"/>
      <w:bookmarkEnd w:id="4"/>
    </w:p>
    <w:p w14:paraId="72459260">
      <w:pPr>
        <w:pStyle w:val="3"/>
        <w:spacing w:before="312"/>
      </w:pPr>
      <w:bookmarkStart w:id="5" w:name="_Toc66346783"/>
      <w:bookmarkStart w:id="6" w:name="_Toc396754223"/>
      <w:bookmarkStart w:id="7" w:name="_Toc27821924"/>
      <w:bookmarkStart w:id="8" w:name="_Toc429388936"/>
      <w:bookmarkStart w:id="9" w:name="_Toc176025887"/>
      <w:r>
        <w:rPr>
          <w:rFonts w:hint="eastAsia"/>
        </w:rPr>
        <w:t>第一节 工程监理行业</w:t>
      </w:r>
      <w:bookmarkEnd w:id="5"/>
      <w:bookmarkEnd w:id="6"/>
      <w:bookmarkEnd w:id="7"/>
      <w:bookmarkEnd w:id="8"/>
      <w:r>
        <w:rPr>
          <w:rFonts w:hint="eastAsia"/>
        </w:rPr>
        <w:t>的定义及分类</w:t>
      </w:r>
      <w:bookmarkEnd w:id="9"/>
    </w:p>
    <w:p w14:paraId="720D59AB">
      <w:pPr>
        <w:pStyle w:val="4"/>
        <w:spacing w:before="312"/>
        <w:ind w:firstLine="482"/>
      </w:pPr>
      <w:bookmarkStart w:id="10" w:name="_Toc396754224"/>
      <w:bookmarkStart w:id="11" w:name="_Toc66346784"/>
      <w:bookmarkStart w:id="12" w:name="_Toc27821925"/>
      <w:bookmarkStart w:id="13" w:name="_Toc429388937"/>
      <w:bookmarkStart w:id="14" w:name="_Toc176025888"/>
      <w:r>
        <w:rPr>
          <w:rFonts w:hint="eastAsia"/>
        </w:rPr>
        <w:t>一、工程监理基本定义</w:t>
      </w:r>
      <w:bookmarkEnd w:id="10"/>
      <w:bookmarkEnd w:id="11"/>
      <w:bookmarkEnd w:id="12"/>
      <w:bookmarkEnd w:id="13"/>
      <w:bookmarkEnd w:id="14"/>
    </w:p>
    <w:p w14:paraId="0535EB70">
      <w:pPr>
        <w:pStyle w:val="11"/>
        <w:spacing w:before="312"/>
        <w:ind w:firstLine="480"/>
      </w:pPr>
      <w:r>
        <w:rPr>
          <w:rFonts w:hint="eastAsia"/>
        </w:rPr>
        <w:t>建设工程监理是指具有相关资质的监理单位受建设单位（项目法人）的委托，依据国家批准的工程项目建设文件、有关工程建设的法律、法规和工程建设监理合同及其他工程建设合同，代替建设单位对承建单位的工程建设实施监控的一种专业化服务活动。</w:t>
      </w:r>
    </w:p>
    <w:p w14:paraId="0095D3F9">
      <w:pPr>
        <w:pStyle w:val="11"/>
        <w:spacing w:before="312"/>
        <w:ind w:firstLine="480"/>
      </w:pPr>
      <w:r>
        <w:rPr>
          <w:rFonts w:hint="eastAsia"/>
        </w:rPr>
        <w:t>监理单位是建筑市场的主体之一，工程监理是一种高智能的有偿技术服务。监理单位与项目法人之间是委托与被委托的合同关系；与被监理单位是监理与被监理关系，其特性主要表现为监理的服务性、科学性、独立性和公正性。</w:t>
      </w:r>
    </w:p>
    <w:p w14:paraId="0EF1B859">
      <w:pPr>
        <w:pStyle w:val="11"/>
        <w:spacing w:before="312"/>
        <w:ind w:firstLine="480"/>
      </w:pPr>
      <w:r>
        <w:rPr>
          <w:rFonts w:hint="eastAsia"/>
        </w:rPr>
        <w:t>我国现行建设监理制度中，按工程建设阶段考虑，监理的工作范围确定为工程建设投资决策阶段、勘察设计招投标与勘察设计阶段和施工招投标与施工阶段（包括设备采购与制造和工程质量保修）三部分。我国自1988年起，施工阶段的监理工作全面推行，取得了显着成效。从全国范围内来看，投资决策阶段、勘察设计招投标与勘察设计阶段的监理工作刚刚起步，尚未形成系统、成熟的经验，相关的规范、规程尚未出台。</w:t>
      </w:r>
    </w:p>
    <w:p w14:paraId="6A39ED58">
      <w:pPr>
        <w:pStyle w:val="11"/>
        <w:spacing w:before="312"/>
        <w:ind w:firstLine="480"/>
      </w:pPr>
      <w:r>
        <w:rPr>
          <w:rFonts w:hint="eastAsia"/>
        </w:rPr>
        <w:t>工程监理工作的依据是工程承包合同和监理合同。监理的职责就是在贯彻执行国家有关法律、法规的前提下，促使甲、乙双方签订的工程承包合同得到全面履行。控制工程建设的投资、工期、工程质量；进行安全管理、合同管理；协调有关单位之间的工作关系；即“三控、两管、一协调”。工程监理是与国外接轨并结合中国国情，在工程建设领域中进行的一项重大改革。跟国外的对业主提供工程项目管理服务是相似的。工程监理根据业主需要可以为业主提供工程项目全过程或某个分阶段，如施工阶段的监理，土建工程监理和安装工程监理。土建工程监理是建筑结构、装饰施工过程监理；安装工程监理是建筑设备设施安装过程的监理，包括建筑给排水、电气线路、弱电及电梯等建筑内部的设备设施。</w:t>
      </w:r>
    </w:p>
    <w:p w14:paraId="4B534B75">
      <w:pPr>
        <w:pStyle w:val="4"/>
        <w:spacing w:before="312"/>
        <w:ind w:firstLine="482"/>
      </w:pPr>
      <w:bookmarkStart w:id="15" w:name="_Toc27821926"/>
      <w:bookmarkStart w:id="16" w:name="_Toc396754225"/>
      <w:bookmarkStart w:id="17" w:name="_Toc176025889"/>
      <w:bookmarkStart w:id="18" w:name="_Toc66346785"/>
      <w:bookmarkStart w:id="19" w:name="_Toc429388938"/>
      <w:r>
        <w:rPr>
          <w:rFonts w:hint="eastAsia"/>
        </w:rPr>
        <w:t>二、工程监理行业分类</w:t>
      </w:r>
      <w:bookmarkEnd w:id="15"/>
      <w:bookmarkEnd w:id="16"/>
      <w:bookmarkEnd w:id="17"/>
      <w:bookmarkEnd w:id="18"/>
      <w:bookmarkEnd w:id="19"/>
    </w:p>
    <w:p w14:paraId="55829AAC">
      <w:pPr>
        <w:pStyle w:val="11"/>
        <w:spacing w:before="312"/>
        <w:ind w:firstLine="480"/>
      </w:pPr>
      <w:r>
        <w:rPr>
          <w:rFonts w:hint="eastAsia"/>
        </w:rPr>
        <w:t>1、工程监理的行业分类</w:t>
      </w:r>
    </w:p>
    <w:p w14:paraId="0E74AA27">
      <w:pPr>
        <w:pStyle w:val="11"/>
        <w:spacing w:before="312"/>
        <w:ind w:firstLine="480"/>
      </w:pPr>
      <w:r>
        <w:rPr>
          <w:rFonts w:hint="eastAsia"/>
        </w:rPr>
        <w:t>（1）按监理阶段分</w:t>
      </w:r>
    </w:p>
    <w:p w14:paraId="2CB062B3">
      <w:pPr>
        <w:pStyle w:val="11"/>
        <w:spacing w:before="312"/>
        <w:ind w:firstLine="480"/>
      </w:pPr>
      <w:r>
        <w:rPr>
          <w:rFonts w:hint="eastAsia"/>
        </w:rPr>
        <w:t>建设工程监理按监理阶段可分为设计监理和施工监理。设计监理是在设计阶段对设计项目所进行的监理，其主要目的是确保设计质量和时间等目标满足业主的要求；施工监理是在施工阶段对施工项目所进行的监理，其主要目的在于确保施工安全、质量、投资和工期等满足业主的要求。</w:t>
      </w:r>
    </w:p>
    <w:p w14:paraId="05C74047">
      <w:pPr>
        <w:pStyle w:val="11"/>
        <w:spacing w:before="312"/>
        <w:ind w:firstLine="480"/>
      </w:pPr>
      <w:r>
        <w:rPr>
          <w:rFonts w:hint="eastAsia"/>
        </w:rPr>
        <w:t>（2）按工程专业分</w:t>
      </w:r>
    </w:p>
    <w:p w14:paraId="47F98FB3">
      <w:pPr>
        <w:pStyle w:val="11"/>
        <w:spacing w:before="312"/>
        <w:ind w:firstLine="480"/>
      </w:pPr>
      <w:r>
        <w:rPr>
          <w:rFonts w:hint="eastAsia"/>
        </w:rPr>
        <w:t>土建工程监理和安装工程监理。土建工程监理是建筑结构、装饰施工过程监理；安装工程监是建筑设备设施安装过程的监理，包括建筑给排水、电气线路、弱电及电梯等建筑内部的设备设施。</w:t>
      </w:r>
    </w:p>
    <w:p w14:paraId="4C0AB0CD">
      <w:pPr>
        <w:pStyle w:val="11"/>
        <w:spacing w:before="312"/>
        <w:ind w:firstLine="480"/>
      </w:pPr>
      <w:r>
        <w:rPr>
          <w:rFonts w:hint="eastAsia"/>
        </w:rPr>
        <w:t>2、工程监理的企业分类</w:t>
      </w:r>
    </w:p>
    <w:p w14:paraId="512D7C18">
      <w:pPr>
        <w:pStyle w:val="12"/>
        <w:spacing w:before="312"/>
      </w:pPr>
      <w:bookmarkStart w:id="20" w:name="_Toc441047216"/>
      <w:bookmarkStart w:id="21" w:name="_Toc43906172"/>
      <w:bookmarkStart w:id="22" w:name="_Toc66347362"/>
      <w:bookmarkStart w:id="23" w:name="_Toc27822563"/>
      <w:bookmarkStart w:id="24" w:name="_Toc176026071"/>
      <w:bookmarkStart w:id="25" w:name="_Toc396754851"/>
      <w:r>
        <w:rPr>
          <w:rFonts w:hint="eastAsia"/>
        </w:rPr>
        <w:t>图表：工程监理企业资质分类分级一览表</w:t>
      </w:r>
      <w:bookmarkEnd w:id="20"/>
      <w:bookmarkEnd w:id="21"/>
      <w:bookmarkEnd w:id="22"/>
      <w:bookmarkEnd w:id="23"/>
      <w:bookmarkEnd w:id="24"/>
      <w:bookmarkEnd w:id="25"/>
    </w:p>
    <w:tbl>
      <w:tblPr>
        <w:tblStyle w:val="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39"/>
        <w:gridCol w:w="2647"/>
        <w:gridCol w:w="4834"/>
      </w:tblGrid>
      <w:tr w14:paraId="1EFB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jc w:val="center"/>
        </w:trPr>
        <w:tc>
          <w:tcPr>
            <w:tcW w:w="636" w:type="dxa"/>
            <w:tcBorders>
              <w:tl2br w:val="single" w:color="auto" w:sz="4" w:space="0"/>
            </w:tcBorders>
          </w:tcPr>
          <w:p w14:paraId="58FE7378">
            <w:pPr>
              <w:pStyle w:val="13"/>
            </w:pPr>
          </w:p>
          <w:p w14:paraId="34A098C3">
            <w:pPr>
              <w:pStyle w:val="13"/>
            </w:pPr>
          </w:p>
        </w:tc>
        <w:tc>
          <w:tcPr>
            <w:tcW w:w="1272" w:type="dxa"/>
            <w:vAlign w:val="center"/>
          </w:tcPr>
          <w:p w14:paraId="10114656">
            <w:pPr>
              <w:pStyle w:val="13"/>
            </w:pPr>
            <w:r>
              <w:rPr>
                <w:rFonts w:hint="eastAsia"/>
              </w:rPr>
              <w:t>资质类型</w:t>
            </w:r>
          </w:p>
        </w:tc>
        <w:tc>
          <w:tcPr>
            <w:tcW w:w="2340" w:type="dxa"/>
            <w:vAlign w:val="center"/>
          </w:tcPr>
          <w:p w14:paraId="01C40E63">
            <w:pPr>
              <w:pStyle w:val="13"/>
            </w:pPr>
            <w:r>
              <w:rPr>
                <w:rFonts w:hint="eastAsia"/>
              </w:rPr>
              <w:t>资质内容</w:t>
            </w:r>
          </w:p>
        </w:tc>
        <w:tc>
          <w:tcPr>
            <w:tcW w:w="4274" w:type="dxa"/>
            <w:vAlign w:val="center"/>
          </w:tcPr>
          <w:p w14:paraId="5968A7D5">
            <w:pPr>
              <w:pStyle w:val="13"/>
            </w:pPr>
            <w:r>
              <w:rPr>
                <w:rFonts w:hint="eastAsia"/>
              </w:rPr>
              <w:t>资质分级说明</w:t>
            </w:r>
          </w:p>
        </w:tc>
      </w:tr>
      <w:tr w14:paraId="295E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restart"/>
            <w:vAlign w:val="center"/>
          </w:tcPr>
          <w:p w14:paraId="2FCD945B">
            <w:pPr>
              <w:pStyle w:val="14"/>
            </w:pPr>
            <w:r>
              <w:t>按企业综合实力划分的各类施工企业资质（3种类型）</w:t>
            </w:r>
          </w:p>
        </w:tc>
        <w:tc>
          <w:tcPr>
            <w:tcW w:w="1272" w:type="dxa"/>
            <w:vAlign w:val="center"/>
          </w:tcPr>
          <w:p w14:paraId="7CC12FD0">
            <w:pPr>
              <w:pStyle w:val="14"/>
            </w:pPr>
            <w:r>
              <w:t>综合资质</w:t>
            </w:r>
          </w:p>
        </w:tc>
        <w:tc>
          <w:tcPr>
            <w:tcW w:w="6614" w:type="dxa"/>
            <w:gridSpan w:val="2"/>
            <w:vAlign w:val="center"/>
          </w:tcPr>
          <w:p w14:paraId="1A5426B7">
            <w:pPr>
              <w:pStyle w:val="14"/>
            </w:pPr>
            <w:r>
              <w:t>不分级。可承揽各专业各级别工程监理业务。</w:t>
            </w:r>
          </w:p>
        </w:tc>
      </w:tr>
      <w:tr w14:paraId="38A7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1647819B">
            <w:pPr>
              <w:pStyle w:val="14"/>
            </w:pPr>
          </w:p>
        </w:tc>
        <w:tc>
          <w:tcPr>
            <w:tcW w:w="1272" w:type="dxa"/>
            <w:vMerge w:val="restart"/>
            <w:vAlign w:val="center"/>
          </w:tcPr>
          <w:p w14:paraId="5043D81F">
            <w:pPr>
              <w:pStyle w:val="14"/>
            </w:pPr>
            <w:r>
              <w:t>专业资质</w:t>
            </w:r>
          </w:p>
        </w:tc>
        <w:tc>
          <w:tcPr>
            <w:tcW w:w="2340" w:type="dxa"/>
            <w:vAlign w:val="center"/>
          </w:tcPr>
          <w:p w14:paraId="55C6FBAC">
            <w:pPr>
              <w:pStyle w:val="14"/>
            </w:pPr>
            <w:r>
              <w:t>1．房屋建筑工程</w:t>
            </w:r>
          </w:p>
        </w:tc>
        <w:tc>
          <w:tcPr>
            <w:tcW w:w="4274" w:type="dxa"/>
            <w:vMerge w:val="restart"/>
            <w:vAlign w:val="center"/>
          </w:tcPr>
          <w:p w14:paraId="4DB1CA3A">
            <w:pPr>
              <w:pStyle w:val="14"/>
            </w:pPr>
            <w:r>
              <w:t>设甲、乙两个级别。房屋建筑、水利水电、公路和市政公用专业资质可设立丙级。</w:t>
            </w:r>
          </w:p>
        </w:tc>
      </w:tr>
      <w:tr w14:paraId="633F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1FB97B7B">
            <w:pPr>
              <w:pStyle w:val="14"/>
            </w:pPr>
          </w:p>
        </w:tc>
        <w:tc>
          <w:tcPr>
            <w:tcW w:w="1272" w:type="dxa"/>
            <w:vMerge w:val="continue"/>
            <w:vAlign w:val="center"/>
          </w:tcPr>
          <w:p w14:paraId="29C2D26F">
            <w:pPr>
              <w:pStyle w:val="14"/>
            </w:pPr>
          </w:p>
        </w:tc>
        <w:tc>
          <w:tcPr>
            <w:tcW w:w="2340" w:type="dxa"/>
            <w:vAlign w:val="center"/>
          </w:tcPr>
          <w:p w14:paraId="320FC15E">
            <w:pPr>
              <w:pStyle w:val="14"/>
            </w:pPr>
            <w:r>
              <w:t>2．冶炼工程</w:t>
            </w:r>
          </w:p>
        </w:tc>
        <w:tc>
          <w:tcPr>
            <w:tcW w:w="4274" w:type="dxa"/>
            <w:vMerge w:val="continue"/>
          </w:tcPr>
          <w:p w14:paraId="217A1335">
            <w:pPr>
              <w:pStyle w:val="14"/>
            </w:pPr>
          </w:p>
        </w:tc>
      </w:tr>
      <w:tr w14:paraId="5E7C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1CD6DD72">
            <w:pPr>
              <w:pStyle w:val="14"/>
            </w:pPr>
          </w:p>
        </w:tc>
        <w:tc>
          <w:tcPr>
            <w:tcW w:w="1272" w:type="dxa"/>
            <w:vMerge w:val="continue"/>
            <w:vAlign w:val="center"/>
          </w:tcPr>
          <w:p w14:paraId="79FA255E">
            <w:pPr>
              <w:pStyle w:val="14"/>
            </w:pPr>
          </w:p>
        </w:tc>
        <w:tc>
          <w:tcPr>
            <w:tcW w:w="2340" w:type="dxa"/>
            <w:vAlign w:val="center"/>
          </w:tcPr>
          <w:p w14:paraId="0C7887E1">
            <w:pPr>
              <w:pStyle w:val="14"/>
            </w:pPr>
            <w:r>
              <w:t>3．矿山工程</w:t>
            </w:r>
          </w:p>
        </w:tc>
        <w:tc>
          <w:tcPr>
            <w:tcW w:w="4274" w:type="dxa"/>
            <w:vMerge w:val="continue"/>
          </w:tcPr>
          <w:p w14:paraId="0701789E">
            <w:pPr>
              <w:pStyle w:val="14"/>
            </w:pPr>
          </w:p>
        </w:tc>
      </w:tr>
      <w:tr w14:paraId="2C2F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7917358E">
            <w:pPr>
              <w:pStyle w:val="14"/>
            </w:pPr>
          </w:p>
        </w:tc>
        <w:tc>
          <w:tcPr>
            <w:tcW w:w="1272" w:type="dxa"/>
            <w:vMerge w:val="continue"/>
            <w:vAlign w:val="center"/>
          </w:tcPr>
          <w:p w14:paraId="0A6E892B">
            <w:pPr>
              <w:pStyle w:val="14"/>
            </w:pPr>
          </w:p>
        </w:tc>
        <w:tc>
          <w:tcPr>
            <w:tcW w:w="2340" w:type="dxa"/>
          </w:tcPr>
          <w:p w14:paraId="4D90DE68">
            <w:pPr>
              <w:pStyle w:val="14"/>
            </w:pPr>
            <w:r>
              <w:t>4．化工石油工程</w:t>
            </w:r>
          </w:p>
        </w:tc>
        <w:tc>
          <w:tcPr>
            <w:tcW w:w="4274" w:type="dxa"/>
            <w:vMerge w:val="continue"/>
          </w:tcPr>
          <w:p w14:paraId="49B126EE">
            <w:pPr>
              <w:pStyle w:val="14"/>
            </w:pPr>
          </w:p>
        </w:tc>
      </w:tr>
      <w:tr w14:paraId="3F03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2CFF7675">
            <w:pPr>
              <w:pStyle w:val="14"/>
            </w:pPr>
          </w:p>
        </w:tc>
        <w:tc>
          <w:tcPr>
            <w:tcW w:w="1272" w:type="dxa"/>
            <w:vMerge w:val="continue"/>
            <w:vAlign w:val="center"/>
          </w:tcPr>
          <w:p w14:paraId="5F703E8B">
            <w:pPr>
              <w:pStyle w:val="14"/>
            </w:pPr>
          </w:p>
        </w:tc>
        <w:tc>
          <w:tcPr>
            <w:tcW w:w="2340" w:type="dxa"/>
          </w:tcPr>
          <w:p w14:paraId="701C44BE">
            <w:pPr>
              <w:pStyle w:val="14"/>
            </w:pPr>
            <w:r>
              <w:t>5．水利水电工程</w:t>
            </w:r>
          </w:p>
        </w:tc>
        <w:tc>
          <w:tcPr>
            <w:tcW w:w="4274" w:type="dxa"/>
            <w:vMerge w:val="continue"/>
          </w:tcPr>
          <w:p w14:paraId="07861C98">
            <w:pPr>
              <w:pStyle w:val="14"/>
            </w:pPr>
          </w:p>
        </w:tc>
      </w:tr>
      <w:tr w14:paraId="3036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0CCAED8F">
            <w:pPr>
              <w:pStyle w:val="14"/>
            </w:pPr>
          </w:p>
        </w:tc>
        <w:tc>
          <w:tcPr>
            <w:tcW w:w="1272" w:type="dxa"/>
            <w:vMerge w:val="continue"/>
            <w:vAlign w:val="center"/>
          </w:tcPr>
          <w:p w14:paraId="60084A9C">
            <w:pPr>
              <w:pStyle w:val="14"/>
            </w:pPr>
          </w:p>
        </w:tc>
        <w:tc>
          <w:tcPr>
            <w:tcW w:w="2340" w:type="dxa"/>
          </w:tcPr>
          <w:p w14:paraId="39231D56">
            <w:pPr>
              <w:pStyle w:val="14"/>
            </w:pPr>
            <w:r>
              <w:t>6．电力工程</w:t>
            </w:r>
          </w:p>
        </w:tc>
        <w:tc>
          <w:tcPr>
            <w:tcW w:w="4274" w:type="dxa"/>
            <w:vMerge w:val="continue"/>
          </w:tcPr>
          <w:p w14:paraId="13293DD8">
            <w:pPr>
              <w:pStyle w:val="14"/>
            </w:pPr>
          </w:p>
        </w:tc>
      </w:tr>
      <w:tr w14:paraId="55CA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2A639464">
            <w:pPr>
              <w:pStyle w:val="14"/>
            </w:pPr>
          </w:p>
        </w:tc>
        <w:tc>
          <w:tcPr>
            <w:tcW w:w="1272" w:type="dxa"/>
            <w:vMerge w:val="continue"/>
            <w:vAlign w:val="center"/>
          </w:tcPr>
          <w:p w14:paraId="49408BB5">
            <w:pPr>
              <w:pStyle w:val="14"/>
            </w:pPr>
          </w:p>
        </w:tc>
        <w:tc>
          <w:tcPr>
            <w:tcW w:w="2340" w:type="dxa"/>
          </w:tcPr>
          <w:p w14:paraId="4C3C6E41">
            <w:pPr>
              <w:pStyle w:val="14"/>
            </w:pPr>
            <w:r>
              <w:t>7．农林工程</w:t>
            </w:r>
          </w:p>
        </w:tc>
        <w:tc>
          <w:tcPr>
            <w:tcW w:w="4274" w:type="dxa"/>
            <w:vMerge w:val="continue"/>
          </w:tcPr>
          <w:p w14:paraId="455E82BD">
            <w:pPr>
              <w:pStyle w:val="14"/>
            </w:pPr>
          </w:p>
        </w:tc>
      </w:tr>
      <w:tr w14:paraId="71A9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4FB71A96">
            <w:pPr>
              <w:pStyle w:val="14"/>
            </w:pPr>
          </w:p>
        </w:tc>
        <w:tc>
          <w:tcPr>
            <w:tcW w:w="1272" w:type="dxa"/>
            <w:vMerge w:val="continue"/>
            <w:vAlign w:val="center"/>
          </w:tcPr>
          <w:p w14:paraId="3E83D1DF">
            <w:pPr>
              <w:pStyle w:val="14"/>
            </w:pPr>
          </w:p>
        </w:tc>
        <w:tc>
          <w:tcPr>
            <w:tcW w:w="2340" w:type="dxa"/>
          </w:tcPr>
          <w:p w14:paraId="621728A2">
            <w:pPr>
              <w:pStyle w:val="14"/>
            </w:pPr>
            <w:r>
              <w:t>8．铁路工程</w:t>
            </w:r>
          </w:p>
        </w:tc>
        <w:tc>
          <w:tcPr>
            <w:tcW w:w="4274" w:type="dxa"/>
            <w:vMerge w:val="continue"/>
          </w:tcPr>
          <w:p w14:paraId="2D7EB9C7">
            <w:pPr>
              <w:pStyle w:val="14"/>
            </w:pPr>
          </w:p>
        </w:tc>
      </w:tr>
      <w:tr w14:paraId="57FD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1896FBEC">
            <w:pPr>
              <w:pStyle w:val="14"/>
            </w:pPr>
          </w:p>
        </w:tc>
        <w:tc>
          <w:tcPr>
            <w:tcW w:w="1272" w:type="dxa"/>
            <w:vMerge w:val="continue"/>
            <w:vAlign w:val="center"/>
          </w:tcPr>
          <w:p w14:paraId="734B3D5C">
            <w:pPr>
              <w:pStyle w:val="14"/>
            </w:pPr>
          </w:p>
        </w:tc>
        <w:tc>
          <w:tcPr>
            <w:tcW w:w="2340" w:type="dxa"/>
          </w:tcPr>
          <w:p w14:paraId="287DEE35">
            <w:pPr>
              <w:pStyle w:val="14"/>
            </w:pPr>
            <w:r>
              <w:t>9．公路工程</w:t>
            </w:r>
          </w:p>
        </w:tc>
        <w:tc>
          <w:tcPr>
            <w:tcW w:w="4274" w:type="dxa"/>
            <w:vMerge w:val="continue"/>
          </w:tcPr>
          <w:p w14:paraId="02281D6E">
            <w:pPr>
              <w:pStyle w:val="14"/>
            </w:pPr>
          </w:p>
        </w:tc>
      </w:tr>
      <w:tr w14:paraId="2211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3D797CC4">
            <w:pPr>
              <w:pStyle w:val="14"/>
            </w:pPr>
          </w:p>
        </w:tc>
        <w:tc>
          <w:tcPr>
            <w:tcW w:w="1272" w:type="dxa"/>
            <w:vMerge w:val="continue"/>
            <w:vAlign w:val="center"/>
          </w:tcPr>
          <w:p w14:paraId="78B4378D">
            <w:pPr>
              <w:pStyle w:val="14"/>
            </w:pPr>
          </w:p>
        </w:tc>
        <w:tc>
          <w:tcPr>
            <w:tcW w:w="2340" w:type="dxa"/>
          </w:tcPr>
          <w:p w14:paraId="34C41FF3">
            <w:pPr>
              <w:pStyle w:val="14"/>
            </w:pPr>
            <w:r>
              <w:t>10．港口与航道工程</w:t>
            </w:r>
          </w:p>
        </w:tc>
        <w:tc>
          <w:tcPr>
            <w:tcW w:w="4274" w:type="dxa"/>
            <w:vMerge w:val="continue"/>
          </w:tcPr>
          <w:p w14:paraId="630A6D57">
            <w:pPr>
              <w:pStyle w:val="14"/>
            </w:pPr>
          </w:p>
        </w:tc>
      </w:tr>
      <w:tr w14:paraId="1C56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159D7F0B">
            <w:pPr>
              <w:pStyle w:val="14"/>
            </w:pPr>
          </w:p>
        </w:tc>
        <w:tc>
          <w:tcPr>
            <w:tcW w:w="1272" w:type="dxa"/>
            <w:vMerge w:val="continue"/>
            <w:vAlign w:val="center"/>
          </w:tcPr>
          <w:p w14:paraId="561F896F">
            <w:pPr>
              <w:pStyle w:val="14"/>
            </w:pPr>
          </w:p>
        </w:tc>
        <w:tc>
          <w:tcPr>
            <w:tcW w:w="2340" w:type="dxa"/>
          </w:tcPr>
          <w:p w14:paraId="12E84942">
            <w:pPr>
              <w:pStyle w:val="14"/>
            </w:pPr>
            <w:r>
              <w:t>11．航天航空工程</w:t>
            </w:r>
          </w:p>
        </w:tc>
        <w:tc>
          <w:tcPr>
            <w:tcW w:w="4274" w:type="dxa"/>
            <w:vMerge w:val="continue"/>
          </w:tcPr>
          <w:p w14:paraId="744F2BF6">
            <w:pPr>
              <w:pStyle w:val="14"/>
            </w:pPr>
          </w:p>
        </w:tc>
      </w:tr>
      <w:tr w14:paraId="135A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396F2765">
            <w:pPr>
              <w:pStyle w:val="14"/>
            </w:pPr>
          </w:p>
        </w:tc>
        <w:tc>
          <w:tcPr>
            <w:tcW w:w="1272" w:type="dxa"/>
            <w:vMerge w:val="continue"/>
            <w:vAlign w:val="center"/>
          </w:tcPr>
          <w:p w14:paraId="784723B5">
            <w:pPr>
              <w:pStyle w:val="14"/>
            </w:pPr>
          </w:p>
        </w:tc>
        <w:tc>
          <w:tcPr>
            <w:tcW w:w="2340" w:type="dxa"/>
          </w:tcPr>
          <w:p w14:paraId="5C31C4AC">
            <w:pPr>
              <w:pStyle w:val="14"/>
            </w:pPr>
            <w:r>
              <w:t>12．通信工程</w:t>
            </w:r>
          </w:p>
        </w:tc>
        <w:tc>
          <w:tcPr>
            <w:tcW w:w="4274" w:type="dxa"/>
            <w:vMerge w:val="continue"/>
          </w:tcPr>
          <w:p w14:paraId="7C52E64E">
            <w:pPr>
              <w:pStyle w:val="14"/>
            </w:pPr>
          </w:p>
        </w:tc>
      </w:tr>
      <w:tr w14:paraId="0044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048ECEF4">
            <w:pPr>
              <w:pStyle w:val="14"/>
            </w:pPr>
          </w:p>
        </w:tc>
        <w:tc>
          <w:tcPr>
            <w:tcW w:w="1272" w:type="dxa"/>
            <w:vMerge w:val="continue"/>
            <w:vAlign w:val="center"/>
          </w:tcPr>
          <w:p w14:paraId="75A629A0">
            <w:pPr>
              <w:pStyle w:val="14"/>
            </w:pPr>
          </w:p>
        </w:tc>
        <w:tc>
          <w:tcPr>
            <w:tcW w:w="2340" w:type="dxa"/>
          </w:tcPr>
          <w:p w14:paraId="0297C7CE">
            <w:pPr>
              <w:pStyle w:val="14"/>
            </w:pPr>
            <w:r>
              <w:t>13．市政公用工程</w:t>
            </w:r>
          </w:p>
        </w:tc>
        <w:tc>
          <w:tcPr>
            <w:tcW w:w="4274" w:type="dxa"/>
            <w:vMerge w:val="continue"/>
          </w:tcPr>
          <w:p w14:paraId="13D8D3E0">
            <w:pPr>
              <w:pStyle w:val="14"/>
            </w:pPr>
          </w:p>
        </w:tc>
      </w:tr>
      <w:tr w14:paraId="0C23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6E865977">
            <w:pPr>
              <w:pStyle w:val="14"/>
            </w:pPr>
          </w:p>
        </w:tc>
        <w:tc>
          <w:tcPr>
            <w:tcW w:w="1272" w:type="dxa"/>
            <w:vMerge w:val="continue"/>
            <w:vAlign w:val="center"/>
          </w:tcPr>
          <w:p w14:paraId="33230CEA">
            <w:pPr>
              <w:pStyle w:val="14"/>
            </w:pPr>
          </w:p>
        </w:tc>
        <w:tc>
          <w:tcPr>
            <w:tcW w:w="2340" w:type="dxa"/>
          </w:tcPr>
          <w:p w14:paraId="62B33769">
            <w:pPr>
              <w:pStyle w:val="14"/>
            </w:pPr>
            <w:r>
              <w:t>14．机电安装工程</w:t>
            </w:r>
          </w:p>
        </w:tc>
        <w:tc>
          <w:tcPr>
            <w:tcW w:w="4274" w:type="dxa"/>
            <w:vMerge w:val="continue"/>
          </w:tcPr>
          <w:p w14:paraId="10619F26">
            <w:pPr>
              <w:pStyle w:val="14"/>
            </w:pPr>
          </w:p>
        </w:tc>
      </w:tr>
      <w:tr w14:paraId="28EF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6" w:type="dxa"/>
            <w:vMerge w:val="continue"/>
          </w:tcPr>
          <w:p w14:paraId="3C799C12">
            <w:pPr>
              <w:pStyle w:val="14"/>
            </w:pPr>
          </w:p>
        </w:tc>
        <w:tc>
          <w:tcPr>
            <w:tcW w:w="1272" w:type="dxa"/>
            <w:vAlign w:val="center"/>
          </w:tcPr>
          <w:p w14:paraId="206526D9">
            <w:pPr>
              <w:pStyle w:val="14"/>
            </w:pPr>
            <w:r>
              <w:t>事物所资质</w:t>
            </w:r>
          </w:p>
        </w:tc>
        <w:tc>
          <w:tcPr>
            <w:tcW w:w="6614" w:type="dxa"/>
            <w:gridSpan w:val="2"/>
            <w:noWrap/>
          </w:tcPr>
          <w:p w14:paraId="6390112C">
            <w:pPr>
              <w:pStyle w:val="14"/>
            </w:pPr>
            <w:r>
              <w:t>不分级。可承担三级建设工程项目的工程监理业务（国家规定必须实行强制监理</w:t>
            </w:r>
            <w:r>
              <w:rPr>
                <w:rFonts w:hint="eastAsia"/>
              </w:rPr>
              <w:t>）</w:t>
            </w:r>
            <w:r>
              <w:t>的工程除外）。工程监理企业也可以开展相应类别建设工程的项目管理、技术咨询等业务。</w:t>
            </w:r>
          </w:p>
        </w:tc>
      </w:tr>
    </w:tbl>
    <w:p w14:paraId="0C64CE0D">
      <w:pPr>
        <w:pStyle w:val="15"/>
        <w:spacing w:before="120"/>
      </w:pPr>
      <w:r>
        <w:rPr>
          <w:rFonts w:hint="eastAsia"/>
        </w:rPr>
        <w:t>资料来源：中经指南信息咨询中心</w:t>
      </w:r>
    </w:p>
    <w:p w14:paraId="1241808C">
      <w:pPr>
        <w:pStyle w:val="3"/>
        <w:spacing w:before="312"/>
      </w:pPr>
      <w:bookmarkStart w:id="26" w:name="_Toc66346833"/>
      <w:bookmarkStart w:id="27" w:name="_Toc176025890"/>
      <w:bookmarkStart w:id="28" w:name="_Toc429388986"/>
      <w:bookmarkStart w:id="29" w:name="_Toc396754273"/>
      <w:bookmarkStart w:id="30" w:name="_Toc27821974"/>
      <w:r>
        <w:rPr>
          <w:rFonts w:hint="eastAsia"/>
        </w:rPr>
        <w:t>第二节 工程监理行业发展现状分析</w:t>
      </w:r>
      <w:bookmarkEnd w:id="26"/>
      <w:bookmarkEnd w:id="27"/>
      <w:bookmarkEnd w:id="28"/>
      <w:bookmarkEnd w:id="29"/>
      <w:bookmarkEnd w:id="30"/>
    </w:p>
    <w:p w14:paraId="75ED3AB2">
      <w:pPr>
        <w:pStyle w:val="4"/>
        <w:spacing w:before="312"/>
        <w:ind w:firstLine="482"/>
      </w:pPr>
      <w:bookmarkStart w:id="31" w:name="_Toc176025891"/>
      <w:r>
        <w:rPr>
          <w:rFonts w:hint="eastAsia"/>
        </w:rPr>
        <w:t>一、工程监理行业发展概况分析</w:t>
      </w:r>
      <w:bookmarkEnd w:id="31"/>
    </w:p>
    <w:p w14:paraId="28F1B594">
      <w:pPr>
        <w:pStyle w:val="11"/>
        <w:spacing w:before="312"/>
        <w:ind w:firstLine="480"/>
      </w:pPr>
      <w:r>
        <w:rPr>
          <w:rFonts w:hint="eastAsia"/>
        </w:rPr>
        <w:t>1、工程监理取费低，经济效益差</w:t>
      </w:r>
    </w:p>
    <w:p w14:paraId="5BCFAC6E">
      <w:pPr>
        <w:pStyle w:val="11"/>
        <w:spacing w:before="312"/>
        <w:ind w:firstLine="480"/>
      </w:pPr>
      <w:r>
        <w:rPr>
          <w:rFonts w:hint="eastAsia"/>
        </w:rPr>
        <w:t>与国外的咨询公司相比较，我国监理取费低下。欧洲发达国家的工程咨询业取费一般是工程总造价的3%～5%，我国监理业取费仅为工程建筑安装费的1%～2%。监理取费低的现状使得监理人员的数量和质量不能满足监理工作的需求，监理人员不到岗，工作积极性低、成效差，业务水平及工作态度有待提高等问题，直接制约着工程监理工作整体水平的提高，从而使得工程监理经济效益与社会效益较差的状况。</w:t>
      </w:r>
    </w:p>
    <w:p w14:paraId="4916E49B">
      <w:pPr>
        <w:pStyle w:val="11"/>
        <w:spacing w:before="312"/>
        <w:ind w:firstLine="480"/>
      </w:pPr>
      <w:r>
        <w:rPr>
          <w:rFonts w:hint="eastAsia"/>
        </w:rPr>
        <w:t>2、工程监理市场不规范</w:t>
      </w:r>
    </w:p>
    <w:p w14:paraId="0E4CF6B0">
      <w:pPr>
        <w:pStyle w:val="11"/>
        <w:spacing w:before="312"/>
        <w:ind w:firstLine="480"/>
      </w:pPr>
      <w:r>
        <w:rPr>
          <w:rFonts w:hint="eastAsia"/>
        </w:rPr>
        <w:t>从业人员结构混乱，很多非专业人员参与到工程监理行业中。注册执业人员尤其是注册监理工程师数量仍达不到监理市场的真实需求。致使监理行业中出借、买卖、租赁和挂靠资质、资格的状况依然存在，甚至有的转让监理业务。同时，监理招标投标阶段存在地方保护势力，仍未完全形成公平公正、合法竞争的工程监理环境，甚至还存在低价中标和暗箱操作的情况。政企不分、以权谋私现象仍未消灭。使得工程监理市场环境混乱。</w:t>
      </w:r>
    </w:p>
    <w:p w14:paraId="39A07263">
      <w:pPr>
        <w:pStyle w:val="11"/>
        <w:spacing w:before="312"/>
        <w:ind w:firstLine="480"/>
      </w:pPr>
      <w:r>
        <w:rPr>
          <w:rFonts w:hint="eastAsia"/>
        </w:rPr>
        <w:t>3、工程监理的监督管理有待加强</w:t>
      </w:r>
    </w:p>
    <w:p w14:paraId="5B511F7F">
      <w:pPr>
        <w:pStyle w:val="11"/>
        <w:spacing w:before="312"/>
        <w:ind w:firstLine="480"/>
      </w:pPr>
      <w:r>
        <w:rPr>
          <w:rFonts w:hint="eastAsia"/>
        </w:rPr>
        <w:t>虽然我国推行工程监理制度时间较长，法律法规、部门规章等制度较健全，但在实际工作中监管措施依然欠缺。特别是有些工程项目较为偏远的地区，存在无人监管的死角，导致工程项目的质量管理失控，严重影响后期工程的使用。某些地方的监管人员甚至精力不足，监管成效差，力度严重不够。</w:t>
      </w:r>
    </w:p>
    <w:p w14:paraId="52323BAE">
      <w:pPr>
        <w:pStyle w:val="4"/>
        <w:spacing w:before="312"/>
        <w:ind w:firstLine="482"/>
      </w:pPr>
      <w:bookmarkStart w:id="32" w:name="_Toc176025892"/>
      <w:r>
        <w:rPr>
          <w:rFonts w:hint="eastAsia"/>
        </w:rPr>
        <w:t>二、工程监理行业发展现状分析</w:t>
      </w:r>
      <w:bookmarkEnd w:id="32"/>
    </w:p>
    <w:p w14:paraId="6C28554E">
      <w:pPr>
        <w:pStyle w:val="11"/>
        <w:spacing w:before="312"/>
        <w:ind w:firstLine="480"/>
      </w:pPr>
      <w:r>
        <w:rPr>
          <w:rFonts w:hint="eastAsia"/>
        </w:rPr>
        <w:t>1、形成了一套较为完善的法律体系</w:t>
      </w:r>
    </w:p>
    <w:p w14:paraId="625D7C08">
      <w:pPr>
        <w:pStyle w:val="11"/>
        <w:spacing w:before="312"/>
        <w:ind w:firstLine="480"/>
      </w:pPr>
      <w:r>
        <w:rPr>
          <w:rFonts w:hint="eastAsia"/>
        </w:rPr>
        <w:t>1988年7月，我国正式推出工程建设试行监理制度，标志着我国工程领域的改革上升到了一个新的阶段。实行监理制度近三十年以来，建设工程监理已经逐步形成了一套较为完整的法律法规体系，监理工作变得有法可依、有章可循，并渐渐向规范化、程序化、制度化转变。《中华人民共和国建筑法》《中华人民共和国招投标法》《建设工程质量管理条例》等一系列具有中国特色的法律、法规颁布与实施，为我国工程监理事业的健康发展奠定了基础。</w:t>
      </w:r>
    </w:p>
    <w:p w14:paraId="376C31EC">
      <w:pPr>
        <w:pStyle w:val="11"/>
        <w:spacing w:before="312"/>
        <w:ind w:firstLine="480"/>
      </w:pPr>
      <w:r>
        <w:rPr>
          <w:rFonts w:hint="eastAsia"/>
        </w:rPr>
        <w:t>2、从业队伍不断壮大，人员素质不断提高</w:t>
      </w:r>
    </w:p>
    <w:p w14:paraId="4CC3FD9B">
      <w:pPr>
        <w:pStyle w:val="11"/>
        <w:spacing w:before="312"/>
        <w:ind w:firstLine="480"/>
      </w:pPr>
      <w:r>
        <w:rPr>
          <w:rFonts w:hint="eastAsia"/>
        </w:rPr>
        <w:t>我国工程监理历经近三十年的发展，工程监理企业、从业人员及专业技术人员的数量不断增长。2023年，具有建设工程监理资质的企业年末从业人员210.8万人，同比增长9.2%。其中，正式聘用人员124.8万人、占59.2%，临时聘用人员86万人、占40.8%；工程监理人员为86.3万人、占40.9%，其他人员124.5万、占59.1%。年末专业技术人员123.7万人,占年末从业人员总数的58.7%，同比增长5.0%。其中，高级职称人员23.9万人，中级职称人员50.8万人，初级职称人员26.3万人，其他人员22.8万人。年末注册执业人员为71.4万人,同比增长19.0%。其中，注册监理工程师为33.9万人，占47.5%，同比增长17.7%；其他注册执业人员为37.5万人，占52.5%，同比增长20.2%。</w:t>
      </w:r>
    </w:p>
    <w:p w14:paraId="15E4F91B">
      <w:pPr>
        <w:pStyle w:val="11"/>
        <w:spacing w:before="312"/>
        <w:ind w:firstLine="480"/>
      </w:pPr>
      <w:r>
        <w:rPr>
          <w:rFonts w:hint="eastAsia"/>
        </w:rPr>
        <w:t>3、监理范围不断扩大</w:t>
      </w:r>
    </w:p>
    <w:p w14:paraId="0C353377">
      <w:pPr>
        <w:pStyle w:val="11"/>
        <w:spacing w:before="312"/>
        <w:ind w:firstLine="480"/>
      </w:pPr>
      <w:r>
        <w:rPr>
          <w:rFonts w:hint="eastAsia"/>
        </w:rPr>
        <w:t>目前我国监理范围已涉及工民建、市政、交通、水利、电力、冶金、石化、化工、铁道、机械、煤炭、建材、邮电、通讯、农业、生态环境、园林绿化、环境保护、轻纺、装修以及信息化工程等，基本已经涵盖了各个领域，并由国内逐步渗透到了国外。同时，我国建设工程监理正逐渐向全方位、全过程发展，并在某些方面取得了显著效果，基本实现了“三控、三管、一协调”的管理态势。由建设工程施工阶段监理慢慢向设计阶段、决策阶段、实施阶段以及项目全过程监理发展。</w:t>
      </w:r>
    </w:p>
    <w:p w14:paraId="7004079D">
      <w:pPr>
        <w:pStyle w:val="11"/>
        <w:spacing w:before="312"/>
        <w:ind w:firstLine="480"/>
      </w:pPr>
      <w:r>
        <w:rPr>
          <w:rFonts w:hint="eastAsia"/>
        </w:rPr>
        <w:t>4、监理形式种类增多</w:t>
      </w:r>
    </w:p>
    <w:p w14:paraId="65A4F264">
      <w:pPr>
        <w:pStyle w:val="11"/>
        <w:spacing w:before="312"/>
        <w:ind w:firstLine="480"/>
      </w:pPr>
      <w:r>
        <w:rPr>
          <w:rFonts w:hint="eastAsia"/>
        </w:rPr>
        <w:t>为了确保我国工程建设的质量，我国监理自1988年开始，由原来的政府监理到社会监理，再到今天的第三方检测、施工监测与控制等形式，其形式在变得多样化，随着社会的进步和发展，其监理的技术也在不断更新和精确，知识水平在不断提高，工程质量的可靠度在进一步提高。</w:t>
      </w:r>
    </w:p>
    <w:p w14:paraId="03F3D6F3">
      <w:pPr>
        <w:pStyle w:val="4"/>
        <w:spacing w:before="312"/>
        <w:ind w:firstLine="482"/>
      </w:pPr>
      <w:bookmarkStart w:id="33" w:name="_Toc176025893"/>
      <w:r>
        <w:rPr>
          <w:rFonts w:hint="eastAsia"/>
        </w:rPr>
        <w:t>三、工程监理企业发展现状分析</w:t>
      </w:r>
      <w:bookmarkEnd w:id="33"/>
    </w:p>
    <w:p w14:paraId="3C89DBFA">
      <w:pPr>
        <w:pStyle w:val="11"/>
        <w:spacing w:before="312"/>
        <w:ind w:firstLine="480"/>
      </w:pPr>
      <w:r>
        <w:rPr>
          <w:rFonts w:hint="eastAsia"/>
        </w:rPr>
        <w:t>1、企业缺乏竞争、激励和约束机制</w:t>
      </w:r>
    </w:p>
    <w:p w14:paraId="0FC8EC67">
      <w:pPr>
        <w:pStyle w:val="11"/>
        <w:spacing w:before="312"/>
        <w:ind w:firstLine="480"/>
      </w:pPr>
      <w:r>
        <w:rPr>
          <w:rFonts w:hint="eastAsia"/>
        </w:rPr>
        <w:t>随着改革的不断深入，我国监理企业原有的机制已经慢慢暴露出众多弊端，无法适应监理市场的健康发展方向，健康发展态势的内动力不足，制约了监理行业向新形态监理市场的转变。主要体现在:一、管理上竞争机制不健全，对领导干部，未能完全形成能上能下的职务任用机制;对企业一般员工，靠能力安排职务的用工机制仍需完善。二、企业的激励与约束机制不健全，很多企业没有建立“多劳多得”的待遇体系。使得很大程度上制约了员工的工作积极性，甚至在某些程度上催生了领导干部通过“在职消费”等手段以权谋私、专业技术人员利用单位的资源和条件私下承接其他工作的现象。</w:t>
      </w:r>
    </w:p>
    <w:p w14:paraId="2A21D215">
      <w:pPr>
        <w:pStyle w:val="11"/>
        <w:spacing w:before="312"/>
        <w:ind w:firstLine="480"/>
      </w:pPr>
      <w:r>
        <w:rPr>
          <w:rFonts w:hint="eastAsia"/>
        </w:rPr>
        <w:t>2、监理业务需向纵深化发展</w:t>
      </w:r>
    </w:p>
    <w:p w14:paraId="6E853EFA">
      <w:pPr>
        <w:pStyle w:val="11"/>
        <w:spacing w:before="312"/>
        <w:ind w:firstLine="480"/>
      </w:pPr>
      <w:r>
        <w:rPr>
          <w:rFonts w:hint="eastAsia"/>
        </w:rPr>
        <w:t>“扩展业务边界”是国际工程监理行业最响亮的口号，也是必然趋势。这就要求工程监理业需要进一步拓展相应的技术和经济服务领域，同时要求业务思想和方法必须以技术为中心。随着“一带一路”思想战略的不断建设，我国的工程监理业不断地向国际化拓展，逐步融入到国际市场。这对我国工程监理业提出了更高的要求，先进的管理理念、技术设备和高素质人才已然成为监理业最重要的组成部分。为了尽快适应国际化监理市场，向纵深化发展已成为我国工程监理业的必然发展趋势。</w:t>
      </w:r>
    </w:p>
    <w:p w14:paraId="08CDE460">
      <w:pPr>
        <w:pStyle w:val="11"/>
        <w:spacing w:before="312"/>
        <w:ind w:firstLine="480"/>
      </w:pPr>
      <w:r>
        <w:rPr>
          <w:rFonts w:hint="eastAsia"/>
        </w:rPr>
        <w:t>3、监理工程师培养体制急需完善</w:t>
      </w:r>
    </w:p>
    <w:p w14:paraId="5DBEEB8C">
      <w:pPr>
        <w:pStyle w:val="11"/>
        <w:spacing w:before="312"/>
        <w:ind w:firstLine="480"/>
      </w:pPr>
      <w:r>
        <w:rPr>
          <w:rFonts w:hint="eastAsia"/>
        </w:rPr>
        <w:t>为适应工程监理业务发展需求，监理人员必须具备较高的学历、丰富的理论和实践经验以及良好的品德和强健的身体素质。在国外，监理人员大都具备高学历，甚至硕士、博士学历人员众多。而在我国，监理企业大多为公司制企业或股份制企业，均以经济效益指标为前提，严重缺乏长远的人才培养和储备战略，教育、培训及继续教育工作严重落后。虽然我国的监理协会也举办过一些培训，但是这些培训既不系统又无法满足行业发展需求。为适应国际化监理市场，建立规范化、系统化的监理人员培养体制变得愈加必要。</w:t>
      </w:r>
    </w:p>
    <w:p w14:paraId="005F4E4D">
      <w:pPr>
        <w:pStyle w:val="4"/>
        <w:spacing w:before="312"/>
        <w:ind w:firstLine="482"/>
      </w:pPr>
      <w:bookmarkStart w:id="34" w:name="_Toc176025894"/>
      <w:bookmarkStart w:id="35" w:name="_Toc429388992"/>
      <w:bookmarkStart w:id="36" w:name="_Toc66346837"/>
      <w:bookmarkStart w:id="37" w:name="_Toc27821980"/>
      <w:bookmarkStart w:id="38" w:name="_Toc396754279"/>
      <w:r>
        <w:rPr>
          <w:rFonts w:hint="eastAsia"/>
        </w:rPr>
        <w:t>四、工程监理行业主体发展分析</w:t>
      </w:r>
      <w:bookmarkEnd w:id="34"/>
      <w:bookmarkEnd w:id="35"/>
      <w:bookmarkEnd w:id="36"/>
      <w:bookmarkEnd w:id="37"/>
      <w:bookmarkEnd w:id="38"/>
    </w:p>
    <w:p w14:paraId="634B9DC9">
      <w:pPr>
        <w:pStyle w:val="11"/>
        <w:spacing w:before="312"/>
        <w:ind w:firstLine="480"/>
      </w:pPr>
      <w:bookmarkStart w:id="39" w:name="_Toc66346838"/>
      <w:bookmarkStart w:id="40" w:name="_Toc429388993"/>
      <w:bookmarkStart w:id="41" w:name="_Toc396754280"/>
      <w:bookmarkStart w:id="42" w:name="_Toc27821981"/>
      <w:r>
        <w:rPr>
          <w:rFonts w:hint="eastAsia"/>
        </w:rPr>
        <w:t>1、从业人员方面</w:t>
      </w:r>
      <w:bookmarkEnd w:id="39"/>
      <w:bookmarkEnd w:id="40"/>
      <w:bookmarkEnd w:id="41"/>
      <w:bookmarkEnd w:id="42"/>
    </w:p>
    <w:p w14:paraId="66F1229A">
      <w:pPr>
        <w:pStyle w:val="11"/>
        <w:spacing w:before="312"/>
        <w:ind w:firstLine="480"/>
      </w:pPr>
      <w:r>
        <w:rPr>
          <w:rFonts w:hint="eastAsia"/>
        </w:rPr>
        <w:t>监理企业是技术、知识和管理密集型的行业，因此人力资源是企业重要的资源和财富。纵观近年监理行业从业人员结构，当前我国监理行业的规模不仅表现在企业数量的增加，同时还反映在监理行业人员增加。具体表现在：</w:t>
      </w:r>
    </w:p>
    <w:p w14:paraId="4BC95C77">
      <w:pPr>
        <w:pStyle w:val="11"/>
        <w:spacing w:before="312"/>
        <w:ind w:firstLine="480"/>
      </w:pPr>
      <w:r>
        <w:rPr>
          <w:rFonts w:hint="eastAsia"/>
        </w:rPr>
        <w:t>（1）从业人数增加较快。从2008年末工程监理企业从业人员542526人增加到2023年的</w:t>
      </w:r>
      <w:r>
        <w:t>210.8</w:t>
      </w:r>
      <w:r>
        <w:rPr>
          <w:rFonts w:hint="eastAsia"/>
        </w:rPr>
        <w:t>万人。</w:t>
      </w:r>
    </w:p>
    <w:p w14:paraId="06ED1800">
      <w:pPr>
        <w:pStyle w:val="11"/>
        <w:spacing w:before="312"/>
        <w:ind w:firstLine="480"/>
      </w:pPr>
      <w:r>
        <w:rPr>
          <w:rFonts w:hint="eastAsia"/>
        </w:rPr>
        <w:t>（2）注册执业人数发展缓慢，人才培养速度不快。从注册监理工程师执业人数增长速度与监理从业人数增长相比，年执业人数不到20%，同时注册建筑师、注册造价师、注册咨询师等其它注册人员还相当缺乏，这对监理企业的综合性发展不利。目前很多监理企业由于取得国家监理工程师的执业人员偏少，不得不让监理员担任专业监理工程师的任务和职责，在工作成效上无法得到业主的认可和市场的认同，这种现象已极大地影响了监理企业的可持续发展。</w:t>
      </w:r>
    </w:p>
    <w:p w14:paraId="50BE7883">
      <w:pPr>
        <w:pStyle w:val="11"/>
        <w:spacing w:before="312"/>
        <w:ind w:firstLine="480"/>
      </w:pPr>
      <w:r>
        <w:rPr>
          <w:rFonts w:hint="eastAsia"/>
        </w:rPr>
        <w:t>（3）人才年龄结构差。通过对280个项目2514名监理人员年龄情况的调研，其中35岁以下人数占总人数的32%，56岁以上人数占总人数的32%，35-55岁人数占总人数的36%，监理队伍年龄老中青三个年龄段呈平均分布态势。比起国外监理工程师平均40岁的年龄，我国目前监理企业人员年龄结构还有待优化，特别是随着建筑工程“四新技术”的应用，信息技术的日新月异，工程项目管理知识更新快等现状与目前监理企业用人年龄结构上的矛盾，致使监理企业发展缺乏后劲。</w:t>
      </w:r>
    </w:p>
    <w:p w14:paraId="3622227E">
      <w:pPr>
        <w:pStyle w:val="11"/>
        <w:spacing w:before="312"/>
        <w:ind w:firstLine="480"/>
      </w:pPr>
      <w:bookmarkStart w:id="43" w:name="_Toc27821982"/>
      <w:bookmarkStart w:id="44" w:name="_Toc66346839"/>
      <w:bookmarkStart w:id="45" w:name="_Toc429388994"/>
      <w:bookmarkStart w:id="46" w:name="_Toc396754281"/>
      <w:r>
        <w:t>2</w:t>
      </w:r>
      <w:r>
        <w:rPr>
          <w:rFonts w:hint="eastAsia"/>
        </w:rPr>
        <w:t>、业主方面</w:t>
      </w:r>
      <w:bookmarkEnd w:id="43"/>
      <w:bookmarkEnd w:id="44"/>
      <w:bookmarkEnd w:id="45"/>
      <w:bookmarkEnd w:id="46"/>
    </w:p>
    <w:p w14:paraId="5691FAA3">
      <w:pPr>
        <w:pStyle w:val="11"/>
        <w:spacing w:before="312"/>
        <w:ind w:firstLine="480"/>
      </w:pPr>
      <w:r>
        <w:rPr>
          <w:rFonts w:hint="eastAsia"/>
        </w:rPr>
        <w:t>业主设置庞大的工程管理部门，并派出人员直接参与施工现场管理工作，使得监理机构完全从属于业主。这种情况使得监理工作已脱离了工程监理的本质与内涵，已不具备国际工程监理模式所规定的应具有的独立性、公正性，并且使现场工作出现权力分散、职责不清的情况。在这种模式中，监理工程师主要或只能承担质量控制工作，而进度控制、投资控制和合同管理等由业主方或主要由业主方直接管理，破坏了业主、监理、施工三大主体的管理体制，造成了职能重置，浪费人力资源，同时也制约了监理单位的权力和管理水平的发挥和提高。</w:t>
      </w:r>
    </w:p>
    <w:p w14:paraId="39492844">
      <w:pPr>
        <w:pStyle w:val="11"/>
        <w:spacing w:before="312"/>
        <w:ind w:firstLine="480"/>
      </w:pPr>
      <w:bookmarkStart w:id="47" w:name="_Toc66346840"/>
      <w:bookmarkStart w:id="48" w:name="_Toc396754282"/>
      <w:bookmarkStart w:id="49" w:name="_Toc27821983"/>
      <w:bookmarkStart w:id="50" w:name="_Toc429388995"/>
      <w:r>
        <w:rPr>
          <w:rFonts w:hint="eastAsia"/>
        </w:rPr>
        <w:t>3、监理企业方面</w:t>
      </w:r>
      <w:bookmarkEnd w:id="47"/>
      <w:bookmarkEnd w:id="48"/>
      <w:bookmarkEnd w:id="49"/>
      <w:bookmarkEnd w:id="50"/>
    </w:p>
    <w:p w14:paraId="469A8581">
      <w:pPr>
        <w:pStyle w:val="11"/>
        <w:spacing w:before="312"/>
        <w:ind w:firstLine="480"/>
      </w:pPr>
      <w:r>
        <w:rPr>
          <w:rFonts w:hint="eastAsia"/>
        </w:rPr>
        <w:t>伴随着监理行业市场的快速发展，出现了监理企业过多但是发展规模较小的情况。由于监理企业过多、过小，资质较低，管理不到位，达不到规模化经营，企业经营创新意识和市场开拓意识不强，不能形成竞争优势，更谈不上创立监理品牌。而且监理专业范围较窄，不能形成建设项目全过程的咨询与监理工作，造成工作的单一性缺乏综合性，人员结构中也缺乏相关的咨询、设计、经济、法律、管理等多方面的综合性人才。同时，企业过多也使监理市场竞争激烈，一些监理企业为了承揽监理业务，不是靠优良的监理服务，而是靠互相压价、拉关系、给回扣等不正当的手段来承接业务，使得监理市场恶性发展。目前监理制度及法规不够完善，执法力度不大，监督体系尚不健全，一些监理企业片面追求经济效益，轻视监理效果，很难达到“全过程、全方位”监理，监理效果可想而知。</w:t>
      </w:r>
    </w:p>
    <w:p w14:paraId="310086AC">
      <w:pPr>
        <w:pStyle w:val="11"/>
        <w:spacing w:before="312"/>
        <w:ind w:firstLine="480"/>
      </w:pPr>
      <w:r>
        <w:rPr>
          <w:rFonts w:hint="eastAsia"/>
        </w:rPr>
        <w:t>在全面扩大监理业务范围的条件下，为满足业主多方面需求和提高自身综合竞争能力，监理企业应主动寻求与设计单位或其他企业合作，形成合伙制监理企业或通过合并结成股份制监理企业，拥有多方面监理能力，逐步开展全过程综合监理，全面提高国内监理行业水平。在国际合作项目越来越多的情况下，还应该开展监理企业与国外监理机构的合作，在合作过程中提高国内监理企业自身施工管理和组织协调能力，学习国外流行的项目总承包开发模式，提升中国监理业国际竞争力，为中国工程监理走向世界打下坚实基础。</w:t>
      </w:r>
    </w:p>
    <w:p w14:paraId="7C3B4208">
      <w:pPr>
        <w:pStyle w:val="3"/>
        <w:spacing w:before="312"/>
      </w:pPr>
      <w:bookmarkStart w:id="51" w:name="_Toc176025895"/>
      <w:r>
        <w:rPr>
          <w:rFonts w:hint="eastAsia"/>
        </w:rPr>
        <w:t>第三节 工程监理行业经营现状分析</w:t>
      </w:r>
      <w:bookmarkEnd w:id="51"/>
    </w:p>
    <w:p w14:paraId="08612D0A">
      <w:pPr>
        <w:pStyle w:val="4"/>
        <w:spacing w:before="312"/>
        <w:ind w:firstLine="482"/>
      </w:pPr>
      <w:bookmarkStart w:id="52" w:name="_Toc27822013"/>
      <w:bookmarkStart w:id="53" w:name="_Toc396754312"/>
      <w:bookmarkStart w:id="54" w:name="_Toc429389025"/>
      <w:bookmarkStart w:id="55" w:name="_Toc176025896"/>
      <w:bookmarkStart w:id="56" w:name="_Toc66346870"/>
      <w:r>
        <w:rPr>
          <w:rFonts w:hint="eastAsia"/>
        </w:rPr>
        <w:t>一、工程监理企业数量规模分析</w:t>
      </w:r>
      <w:bookmarkEnd w:id="52"/>
      <w:bookmarkEnd w:id="53"/>
      <w:bookmarkEnd w:id="54"/>
      <w:bookmarkEnd w:id="55"/>
      <w:bookmarkEnd w:id="56"/>
    </w:p>
    <w:p w14:paraId="4639D3EA">
      <w:pPr>
        <w:pStyle w:val="11"/>
        <w:spacing w:before="312"/>
        <w:ind w:firstLine="480"/>
      </w:pPr>
      <w:bookmarkStart w:id="57" w:name="_Toc66346874"/>
      <w:bookmarkStart w:id="58" w:name="_Toc27822017"/>
      <w:bookmarkStart w:id="59" w:name="_Toc429389029"/>
      <w:bookmarkStart w:id="60" w:name="_Toc396754316"/>
      <w:r>
        <w:rPr>
          <w:rFonts w:hint="eastAsia"/>
        </w:rPr>
        <w:t>2023年，全国共有19717个具有建设工程监理资质的企业参加了统计，同比增长21.2%。其中，综合资质企业349个，同比增长19.1%；甲级资质企业5833个，同比增长13.3%；乙级资质企业12623个，同比增长30.6%。</w:t>
      </w:r>
    </w:p>
    <w:p w14:paraId="3F3AA84B">
      <w:pPr>
        <w:pStyle w:val="12"/>
        <w:spacing w:before="312"/>
      </w:pPr>
      <w:bookmarkStart w:id="61" w:name="_Toc176026072"/>
      <w:bookmarkStart w:id="62" w:name="_Toc106813177"/>
      <w:bookmarkStart w:id="63" w:name="_Toc27755843"/>
      <w:bookmarkStart w:id="64" w:name="_Toc66347377"/>
      <w:bookmarkStart w:id="65" w:name="_Toc57730178"/>
      <w:bookmarkStart w:id="66" w:name="_Toc106800163"/>
      <w:bookmarkStart w:id="67" w:name="_Toc43305533"/>
      <w:r>
        <w:rPr>
          <w:rFonts w:hint="eastAsia"/>
        </w:rPr>
        <w:t>图表：2019-2023年中国建设工程监理企业数量</w:t>
      </w:r>
      <w:bookmarkEnd w:id="61"/>
      <w:bookmarkEnd w:id="62"/>
      <w:bookmarkEnd w:id="63"/>
      <w:bookmarkEnd w:id="64"/>
      <w:bookmarkEnd w:id="65"/>
      <w:bookmarkEnd w:id="66"/>
      <w:bookmarkEnd w:id="67"/>
    </w:p>
    <w:p w14:paraId="48570E73">
      <w:pPr>
        <w:pStyle w:val="16"/>
        <w:spacing w:before="156"/>
      </w:pPr>
      <w:r>
        <w:drawing>
          <wp:inline distT="0" distB="0" distL="0" distR="0">
            <wp:extent cx="4572000" cy="2743200"/>
            <wp:effectExtent l="4445" t="4445" r="10795" b="10795"/>
            <wp:docPr id="20136998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ED23D60">
      <w:pPr>
        <w:pStyle w:val="15"/>
        <w:spacing w:before="156"/>
      </w:pPr>
      <w:r>
        <w:rPr>
          <w:rFonts w:hint="eastAsia"/>
        </w:rPr>
        <w:t>数据来源：国家住建部、中经指南信息咨询中心</w:t>
      </w:r>
    </w:p>
    <w:p w14:paraId="5EFDCB1E">
      <w:pPr>
        <w:pStyle w:val="11"/>
        <w:spacing w:before="312"/>
        <w:ind w:firstLine="480"/>
      </w:pPr>
      <w:bookmarkStart w:id="68" w:name="_Toc396754873"/>
      <w:r>
        <w:rPr>
          <w:rFonts w:hint="eastAsia"/>
        </w:rPr>
        <w:t>根据住建部2023年建设工程监理统计公报显示，在工程监理企业性质中，有限责任公司</w:t>
      </w:r>
      <w:r>
        <w:t>7572</w:t>
      </w:r>
      <w:r>
        <w:rPr>
          <w:rFonts w:hint="eastAsia"/>
        </w:rPr>
        <w:t>个，私营企业和国有企业，分别达到</w:t>
      </w:r>
      <w:r>
        <w:t>9511</w:t>
      </w:r>
      <w:r>
        <w:rPr>
          <w:rFonts w:hint="eastAsia"/>
        </w:rPr>
        <w:t>个和</w:t>
      </w:r>
      <w:r>
        <w:t>890</w:t>
      </w:r>
      <w:r>
        <w:rPr>
          <w:rFonts w:hint="eastAsia"/>
        </w:rPr>
        <w:t>个。</w:t>
      </w:r>
    </w:p>
    <w:p w14:paraId="5CEDE325">
      <w:pPr>
        <w:pStyle w:val="12"/>
        <w:spacing w:before="312"/>
      </w:pPr>
      <w:bookmarkStart w:id="69" w:name="_Toc43906189"/>
      <w:bookmarkStart w:id="70" w:name="_Toc149848942"/>
      <w:bookmarkStart w:id="71" w:name="_Toc441047236"/>
      <w:bookmarkStart w:id="72" w:name="_Toc27822578"/>
      <w:bookmarkStart w:id="73" w:name="_Toc106813178"/>
      <w:bookmarkStart w:id="74" w:name="_Toc66347378"/>
      <w:bookmarkStart w:id="75" w:name="_Toc176026073"/>
      <w:r>
        <w:rPr>
          <w:rFonts w:hint="eastAsia"/>
        </w:rPr>
        <w:t>图表：2</w:t>
      </w:r>
      <w:r>
        <w:t>02</w:t>
      </w:r>
      <w:r>
        <w:rPr>
          <w:rFonts w:hint="eastAsia"/>
        </w:rPr>
        <w:t>3年中国建设工程监理企业按工商登记类型分布情况</w:t>
      </w:r>
      <w:bookmarkEnd w:id="68"/>
      <w:bookmarkEnd w:id="69"/>
      <w:bookmarkEnd w:id="70"/>
      <w:bookmarkEnd w:id="71"/>
      <w:bookmarkEnd w:id="72"/>
      <w:bookmarkEnd w:id="73"/>
      <w:bookmarkEnd w:id="74"/>
      <w:bookmarkEnd w:id="75"/>
    </w:p>
    <w:p w14:paraId="2D2FE5B9">
      <w:pPr>
        <w:pStyle w:val="16"/>
        <w:spacing w:before="120"/>
      </w:pPr>
      <w:r>
        <w:drawing>
          <wp:inline distT="0" distB="0" distL="0" distR="0">
            <wp:extent cx="4572000" cy="2743200"/>
            <wp:effectExtent l="4445" t="4445" r="10795" b="10795"/>
            <wp:docPr id="112719307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18CB789">
      <w:pPr>
        <w:pStyle w:val="15"/>
        <w:spacing w:before="120"/>
      </w:pPr>
      <w:r>
        <w:rPr>
          <w:rFonts w:hint="eastAsia"/>
        </w:rPr>
        <w:t>数据来源：国家住建部、中经指南信息咨询中心</w:t>
      </w:r>
    </w:p>
    <w:p w14:paraId="572EBBDE">
      <w:pPr>
        <w:pStyle w:val="11"/>
        <w:spacing w:before="312"/>
        <w:ind w:firstLine="480"/>
      </w:pPr>
      <w:bookmarkStart w:id="76" w:name="_Toc396754874"/>
      <w:r>
        <w:rPr>
          <w:rFonts w:hint="eastAsia"/>
        </w:rPr>
        <w:t>按专业工程类别分，房屋建筑工程资质的企业占据绝对的比重。2023年建设工程监理企业中，房屋建筑工程资质的企业达到</w:t>
      </w:r>
      <w:r>
        <w:t>14542</w:t>
      </w:r>
      <w:r>
        <w:rPr>
          <w:rFonts w:hint="eastAsia"/>
        </w:rPr>
        <w:t>个，占比</w:t>
      </w:r>
      <w:r>
        <w:t>73.75%</w:t>
      </w:r>
      <w:r>
        <w:rPr>
          <w:rFonts w:hint="eastAsia"/>
        </w:rPr>
        <w:t>。</w:t>
      </w:r>
    </w:p>
    <w:p w14:paraId="49A9056D">
      <w:pPr>
        <w:pStyle w:val="11"/>
        <w:spacing w:before="312"/>
        <w:ind w:firstLine="480"/>
      </w:pPr>
    </w:p>
    <w:p w14:paraId="6244CEE1">
      <w:pPr>
        <w:pStyle w:val="11"/>
        <w:spacing w:before="312"/>
        <w:ind w:firstLine="480"/>
      </w:pPr>
    </w:p>
    <w:p w14:paraId="49B1624D">
      <w:pPr>
        <w:pStyle w:val="11"/>
        <w:spacing w:before="312"/>
        <w:ind w:firstLine="480"/>
      </w:pPr>
    </w:p>
    <w:p w14:paraId="6BF2E70F">
      <w:pPr>
        <w:pStyle w:val="11"/>
        <w:spacing w:before="312"/>
        <w:ind w:firstLine="480"/>
      </w:pPr>
    </w:p>
    <w:p w14:paraId="3D2177E2">
      <w:pPr>
        <w:pStyle w:val="11"/>
        <w:spacing w:before="312"/>
        <w:ind w:firstLine="480"/>
      </w:pPr>
    </w:p>
    <w:p w14:paraId="1143C4D7">
      <w:pPr>
        <w:pStyle w:val="11"/>
        <w:spacing w:before="312"/>
        <w:ind w:firstLine="480"/>
        <w:rPr>
          <w:rFonts w:hint="eastAsia"/>
        </w:rPr>
      </w:pPr>
    </w:p>
    <w:p w14:paraId="36EA0BD7">
      <w:pPr>
        <w:pStyle w:val="12"/>
        <w:spacing w:before="312"/>
      </w:pPr>
      <w:bookmarkStart w:id="77" w:name="_Toc106813179"/>
      <w:bookmarkStart w:id="78" w:name="_Toc149848943"/>
      <w:bookmarkStart w:id="79" w:name="_Toc27822579"/>
      <w:bookmarkStart w:id="80" w:name="_Toc43906190"/>
      <w:bookmarkStart w:id="81" w:name="_Toc441047237"/>
      <w:bookmarkStart w:id="82" w:name="_Toc176026074"/>
      <w:bookmarkStart w:id="83" w:name="_Toc66347379"/>
      <w:r>
        <w:rPr>
          <w:rFonts w:hint="eastAsia"/>
        </w:rPr>
        <w:t>图表：2</w:t>
      </w:r>
      <w:r>
        <w:t>02</w:t>
      </w:r>
      <w:r>
        <w:rPr>
          <w:rFonts w:hint="eastAsia"/>
        </w:rPr>
        <w:t>3年中国建设工程监理企业按专业工程类别分布情况</w:t>
      </w:r>
      <w:bookmarkEnd w:id="76"/>
      <w:bookmarkEnd w:id="77"/>
      <w:bookmarkEnd w:id="78"/>
      <w:bookmarkEnd w:id="79"/>
      <w:bookmarkEnd w:id="80"/>
      <w:bookmarkEnd w:id="81"/>
      <w:bookmarkEnd w:id="82"/>
      <w:bookmarkEnd w:id="83"/>
    </w:p>
    <w:p w14:paraId="4BD508ED">
      <w:pPr>
        <w:pStyle w:val="16"/>
        <w:spacing w:before="120"/>
      </w:pPr>
      <w:r>
        <w:drawing>
          <wp:inline distT="0" distB="0" distL="0" distR="0">
            <wp:extent cx="4572000" cy="2743200"/>
            <wp:effectExtent l="4445" t="4445" r="10795" b="10795"/>
            <wp:docPr id="81750905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6C4536C">
      <w:pPr>
        <w:pStyle w:val="15"/>
        <w:spacing w:before="120"/>
      </w:pPr>
      <w:r>
        <w:rPr>
          <w:rFonts w:hint="eastAsia"/>
        </w:rPr>
        <w:t>数据来源：国家住建部、中经指南信息咨询中心</w:t>
      </w:r>
    </w:p>
    <w:p w14:paraId="72895F6B">
      <w:pPr>
        <w:pStyle w:val="4"/>
        <w:spacing w:before="312"/>
        <w:ind w:firstLine="482"/>
      </w:pPr>
      <w:bookmarkStart w:id="84" w:name="_Toc176025897"/>
      <w:r>
        <w:rPr>
          <w:rFonts w:hint="eastAsia"/>
        </w:rPr>
        <w:t>二、工程监理企业人员规模分析</w:t>
      </w:r>
      <w:bookmarkEnd w:id="57"/>
      <w:bookmarkEnd w:id="58"/>
      <w:bookmarkEnd w:id="59"/>
      <w:bookmarkEnd w:id="60"/>
      <w:bookmarkEnd w:id="84"/>
    </w:p>
    <w:p w14:paraId="1B1E7A05">
      <w:pPr>
        <w:pStyle w:val="11"/>
        <w:spacing w:before="312"/>
        <w:ind w:firstLine="480"/>
      </w:pPr>
      <w:bookmarkStart w:id="85" w:name="_Toc396754321"/>
      <w:bookmarkStart w:id="86" w:name="_Toc429389034"/>
      <w:bookmarkStart w:id="87" w:name="_Toc27822022"/>
      <w:bookmarkStart w:id="88" w:name="_Toc66346879"/>
      <w:r>
        <w:rPr>
          <w:rFonts w:hint="eastAsia"/>
        </w:rPr>
        <w:t>2023年，具有建设工程监理资质的企业年末从业人员210.8万人，同比增长9.2%。</w:t>
      </w:r>
    </w:p>
    <w:p w14:paraId="7B3BC5E3">
      <w:pPr>
        <w:pStyle w:val="12"/>
        <w:spacing w:before="312"/>
      </w:pPr>
      <w:bookmarkStart w:id="89" w:name="_Toc27755844"/>
      <w:bookmarkStart w:id="90" w:name="_Toc66347380"/>
      <w:bookmarkStart w:id="91" w:name="_Toc43305534"/>
      <w:bookmarkStart w:id="92" w:name="_Toc57730179"/>
      <w:bookmarkStart w:id="93" w:name="_Toc106813180"/>
      <w:bookmarkStart w:id="94" w:name="_Toc106800164"/>
      <w:bookmarkStart w:id="95" w:name="_Toc176026075"/>
      <w:r>
        <w:rPr>
          <w:rFonts w:hint="eastAsia"/>
        </w:rPr>
        <w:t>图表：2019-2023年工程监理企业从业人员</w:t>
      </w:r>
      <w:bookmarkEnd w:id="89"/>
      <w:bookmarkEnd w:id="90"/>
      <w:bookmarkEnd w:id="91"/>
      <w:bookmarkEnd w:id="92"/>
      <w:bookmarkEnd w:id="93"/>
      <w:bookmarkEnd w:id="94"/>
      <w:bookmarkEnd w:id="95"/>
    </w:p>
    <w:p w14:paraId="3F239EE2">
      <w:pPr>
        <w:pStyle w:val="16"/>
      </w:pPr>
      <w:r>
        <w:drawing>
          <wp:inline distT="0" distB="0" distL="0" distR="0">
            <wp:extent cx="4572000" cy="2743200"/>
            <wp:effectExtent l="4445" t="4445" r="10795" b="10795"/>
            <wp:docPr id="168197342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4932309">
      <w:pPr>
        <w:pStyle w:val="15"/>
        <w:spacing w:before="156"/>
      </w:pPr>
      <w:r>
        <w:rPr>
          <w:rFonts w:hint="eastAsia"/>
        </w:rPr>
        <w:t>数据来源：国家住建部、中经指南信息咨询中心</w:t>
      </w:r>
    </w:p>
    <w:p w14:paraId="5D9117BC">
      <w:pPr>
        <w:pStyle w:val="11"/>
        <w:spacing w:before="312"/>
        <w:ind w:firstLine="480"/>
      </w:pPr>
      <w:bookmarkStart w:id="96" w:name="_Toc396754877"/>
      <w:r>
        <w:rPr>
          <w:rFonts w:hint="eastAsia"/>
        </w:rPr>
        <w:t>2023年，具有建设工程监理资质的企业年末从业人员210.8万人，同比增长9.2%。其中，正式聘用人员124.8万人、占59.2%，临时聘用人员86万人、占40.8%。</w:t>
      </w:r>
    </w:p>
    <w:p w14:paraId="2E7164BE">
      <w:pPr>
        <w:pStyle w:val="12"/>
        <w:spacing w:before="312"/>
      </w:pPr>
      <w:bookmarkStart w:id="97" w:name="_Toc27822581"/>
      <w:bookmarkStart w:id="98" w:name="_Toc66347381"/>
      <w:bookmarkStart w:id="99" w:name="_Toc43906192"/>
      <w:bookmarkStart w:id="100" w:name="_Toc441047239"/>
      <w:bookmarkStart w:id="101" w:name="_Toc106813181"/>
      <w:bookmarkStart w:id="102" w:name="_Toc176026076"/>
      <w:bookmarkStart w:id="103" w:name="_Toc149848945"/>
      <w:r>
        <w:rPr>
          <w:rFonts w:hint="eastAsia"/>
        </w:rPr>
        <w:t>图表：2</w:t>
      </w:r>
      <w:r>
        <w:t>02</w:t>
      </w:r>
      <w:r>
        <w:rPr>
          <w:rFonts w:hint="eastAsia"/>
        </w:rPr>
        <w:t>3年中国工程监理企业人员聘用类型</w:t>
      </w:r>
      <w:bookmarkEnd w:id="96"/>
      <w:bookmarkEnd w:id="97"/>
      <w:bookmarkEnd w:id="98"/>
      <w:bookmarkEnd w:id="99"/>
      <w:bookmarkEnd w:id="100"/>
      <w:bookmarkEnd w:id="101"/>
      <w:r>
        <w:rPr>
          <w:rFonts w:hint="eastAsia"/>
        </w:rPr>
        <w:t>情况</w:t>
      </w:r>
      <w:bookmarkEnd w:id="102"/>
      <w:bookmarkEnd w:id="103"/>
    </w:p>
    <w:p w14:paraId="4F328A64">
      <w:pPr>
        <w:pStyle w:val="16"/>
        <w:spacing w:before="120"/>
      </w:pPr>
      <w:r>
        <w:drawing>
          <wp:inline distT="0" distB="0" distL="0" distR="0">
            <wp:extent cx="4572000" cy="2743200"/>
            <wp:effectExtent l="4445" t="4445" r="10795" b="10795"/>
            <wp:docPr id="119458208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0F3EF19">
      <w:pPr>
        <w:pStyle w:val="15"/>
        <w:spacing w:before="120" w:line="240" w:lineRule="exact"/>
      </w:pPr>
      <w:r>
        <w:rPr>
          <w:rFonts w:hint="eastAsia"/>
        </w:rPr>
        <w:t>数据来源：国家住建部、中经指南信息咨询中心</w:t>
      </w:r>
    </w:p>
    <w:p w14:paraId="10A97694">
      <w:pPr>
        <w:pStyle w:val="11"/>
        <w:spacing w:before="312"/>
        <w:ind w:firstLine="480"/>
      </w:pPr>
      <w:r>
        <w:rPr>
          <w:rFonts w:hint="eastAsia"/>
        </w:rPr>
        <w:t>2023年末专业技术人员123.7万人,占年末从业人员总数的58.7%，同比增长5.0%。其中，高级职称人员23.9万人，中级职称人员50.8万人，初级职称人员26.3万人，其他人员22.8万人。</w:t>
      </w:r>
    </w:p>
    <w:p w14:paraId="2C4537B0">
      <w:pPr>
        <w:pStyle w:val="11"/>
        <w:spacing w:before="312"/>
        <w:ind w:firstLine="480"/>
      </w:pPr>
    </w:p>
    <w:p w14:paraId="00A0109F">
      <w:pPr>
        <w:pStyle w:val="11"/>
        <w:spacing w:before="312"/>
        <w:ind w:firstLine="480"/>
      </w:pPr>
    </w:p>
    <w:p w14:paraId="63291498">
      <w:pPr>
        <w:pStyle w:val="11"/>
        <w:spacing w:before="312"/>
        <w:ind w:firstLine="480"/>
      </w:pPr>
    </w:p>
    <w:p w14:paraId="5355D412">
      <w:pPr>
        <w:pStyle w:val="11"/>
        <w:spacing w:before="312"/>
        <w:ind w:firstLine="480"/>
      </w:pPr>
    </w:p>
    <w:p w14:paraId="61C04967">
      <w:pPr>
        <w:pStyle w:val="11"/>
        <w:spacing w:before="312"/>
        <w:ind w:firstLine="480"/>
      </w:pPr>
    </w:p>
    <w:p w14:paraId="306E71AF">
      <w:pPr>
        <w:pStyle w:val="11"/>
        <w:spacing w:before="312"/>
        <w:ind w:firstLine="480"/>
        <w:rPr>
          <w:rFonts w:hint="eastAsia"/>
        </w:rPr>
      </w:pPr>
    </w:p>
    <w:p w14:paraId="5036C1A3">
      <w:pPr>
        <w:pStyle w:val="12"/>
        <w:spacing w:before="312"/>
      </w:pPr>
      <w:bookmarkStart w:id="104" w:name="_Toc149848946"/>
      <w:bookmarkStart w:id="105" w:name="_Toc176026077"/>
      <w:r>
        <w:rPr>
          <w:rFonts w:hint="eastAsia"/>
        </w:rPr>
        <w:t>图表：2</w:t>
      </w:r>
      <w:r>
        <w:t>02</w:t>
      </w:r>
      <w:r>
        <w:rPr>
          <w:rFonts w:hint="eastAsia"/>
        </w:rPr>
        <w:t>3年中国工程监理企业专业技术人员职称结构情况</w:t>
      </w:r>
      <w:bookmarkEnd w:id="104"/>
      <w:bookmarkEnd w:id="105"/>
    </w:p>
    <w:p w14:paraId="5FAF7B0E">
      <w:pPr>
        <w:pStyle w:val="16"/>
        <w:spacing w:before="120"/>
      </w:pPr>
      <w:r>
        <w:drawing>
          <wp:inline distT="0" distB="0" distL="0" distR="0">
            <wp:extent cx="4572000" cy="2743200"/>
            <wp:effectExtent l="4445" t="4445" r="10795" b="10795"/>
            <wp:docPr id="81744068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A10B70D">
      <w:pPr>
        <w:pStyle w:val="15"/>
        <w:spacing w:before="120" w:line="240" w:lineRule="exact"/>
      </w:pPr>
      <w:r>
        <w:rPr>
          <w:rFonts w:hint="eastAsia"/>
        </w:rPr>
        <w:t>数据来源：国家住建部、中经指南信息咨询中心</w:t>
      </w:r>
    </w:p>
    <w:p w14:paraId="3FED5507">
      <w:pPr>
        <w:pStyle w:val="11"/>
        <w:spacing w:before="312"/>
        <w:ind w:firstLine="480"/>
      </w:pPr>
      <w:r>
        <w:rPr>
          <w:rFonts w:hint="eastAsia"/>
        </w:rPr>
        <w:t>2023年末注册执业人员为71.4万人,同比增长19.0%。其中，注册监理工程师为33.9万人，占47.5%，同比增长17.7%；其他注册执业人员为37.5万人，占52.5%，同比增长20.2%。</w:t>
      </w:r>
    </w:p>
    <w:p w14:paraId="0EE3BDCB">
      <w:pPr>
        <w:pStyle w:val="12"/>
        <w:spacing w:before="312"/>
      </w:pPr>
      <w:bookmarkStart w:id="106" w:name="_Toc149848947"/>
      <w:bookmarkStart w:id="107" w:name="_Toc176026078"/>
      <w:r>
        <w:rPr>
          <w:rFonts w:hint="eastAsia"/>
        </w:rPr>
        <w:t>图表：2</w:t>
      </w:r>
      <w:r>
        <w:t>02</w:t>
      </w:r>
      <w:r>
        <w:rPr>
          <w:rFonts w:hint="eastAsia"/>
        </w:rPr>
        <w:t>3年中国工程监理企业人员注册执业人员结构情况</w:t>
      </w:r>
      <w:bookmarkEnd w:id="106"/>
      <w:bookmarkEnd w:id="107"/>
    </w:p>
    <w:p w14:paraId="51F4DCD4">
      <w:pPr>
        <w:pStyle w:val="16"/>
        <w:spacing w:before="120"/>
      </w:pPr>
      <w:r>
        <w:drawing>
          <wp:inline distT="0" distB="0" distL="0" distR="0">
            <wp:extent cx="4572000" cy="2743200"/>
            <wp:effectExtent l="4445" t="4445" r="10795" b="10795"/>
            <wp:docPr id="53412660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C880D1">
      <w:pPr>
        <w:pStyle w:val="15"/>
        <w:spacing w:before="120" w:line="240" w:lineRule="exact"/>
      </w:pPr>
      <w:r>
        <w:rPr>
          <w:rFonts w:hint="eastAsia"/>
        </w:rPr>
        <w:t>数据来源：国家住建部、中经指南信息咨询中心</w:t>
      </w:r>
    </w:p>
    <w:p w14:paraId="2BB3EF6E">
      <w:pPr>
        <w:pStyle w:val="4"/>
        <w:spacing w:before="312"/>
        <w:ind w:firstLine="482"/>
      </w:pPr>
      <w:bookmarkStart w:id="108" w:name="_Toc176025898"/>
      <w:r>
        <w:rPr>
          <w:rFonts w:hint="eastAsia"/>
        </w:rPr>
        <w:t>三、工程监理企业承揽合同总额</w:t>
      </w:r>
      <w:bookmarkEnd w:id="85"/>
      <w:bookmarkEnd w:id="86"/>
      <w:bookmarkEnd w:id="87"/>
      <w:bookmarkEnd w:id="88"/>
      <w:bookmarkEnd w:id="108"/>
    </w:p>
    <w:p w14:paraId="3323C3F8">
      <w:pPr>
        <w:pStyle w:val="11"/>
        <w:spacing w:before="312"/>
        <w:ind w:firstLine="480"/>
        <w:rPr>
          <w:rFonts w:hint="eastAsia"/>
        </w:rPr>
      </w:pPr>
      <w:r>
        <w:rPr>
          <w:rFonts w:hint="eastAsia"/>
        </w:rPr>
        <w:t>2023年，工程监理企业承揽合同额18108.3亿元，与2021年相比增长45.0%。2023年，工程监理企业承揽合同额</w:t>
      </w:r>
      <w:r>
        <w:t>10222.7</w:t>
      </w:r>
      <w:r>
        <w:rPr>
          <w:rFonts w:hint="eastAsia"/>
        </w:rPr>
        <w:t>亿元。</w:t>
      </w:r>
    </w:p>
    <w:p w14:paraId="46596718">
      <w:pPr>
        <w:pStyle w:val="12"/>
        <w:spacing w:before="312"/>
      </w:pPr>
      <w:bookmarkStart w:id="109" w:name="_Toc27822584"/>
      <w:bookmarkStart w:id="110" w:name="_Toc27755845"/>
      <w:bookmarkStart w:id="111" w:name="_Toc43906195"/>
      <w:bookmarkStart w:id="112" w:name="_Toc106800165"/>
      <w:bookmarkStart w:id="113" w:name="_Toc106813182"/>
      <w:bookmarkStart w:id="114" w:name="_Toc176026079"/>
      <w:bookmarkStart w:id="115" w:name="_Toc66347384"/>
      <w:r>
        <w:rPr>
          <w:rFonts w:hint="eastAsia"/>
        </w:rPr>
        <w:t>图表：</w:t>
      </w:r>
      <w:r>
        <w:t>2</w:t>
      </w:r>
      <w:r>
        <w:rPr>
          <w:rFonts w:hint="eastAsia"/>
        </w:rPr>
        <w:t>019-2023年中国</w:t>
      </w:r>
      <w:bookmarkEnd w:id="109"/>
      <w:bookmarkEnd w:id="110"/>
      <w:r>
        <w:rPr>
          <w:rFonts w:hint="eastAsia"/>
        </w:rPr>
        <w:t>工程监理企业承揽合同额</w:t>
      </w:r>
      <w:bookmarkEnd w:id="111"/>
      <w:bookmarkEnd w:id="112"/>
      <w:bookmarkEnd w:id="113"/>
      <w:bookmarkEnd w:id="114"/>
      <w:bookmarkEnd w:id="115"/>
    </w:p>
    <w:p w14:paraId="6ED4EC8A">
      <w:pPr>
        <w:pStyle w:val="16"/>
        <w:spacing w:before="156"/>
      </w:pPr>
      <w:r>
        <w:drawing>
          <wp:inline distT="0" distB="0" distL="0" distR="0">
            <wp:extent cx="4572000" cy="2743200"/>
            <wp:effectExtent l="4445" t="4445" r="10795" b="10795"/>
            <wp:docPr id="29632352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836EC1">
      <w:pPr>
        <w:pStyle w:val="15"/>
        <w:spacing w:before="156"/>
      </w:pPr>
      <w:r>
        <w:rPr>
          <w:rFonts w:hint="eastAsia"/>
        </w:rPr>
        <w:t>数据来源：国家住建部、中经指南信息咨询中心</w:t>
      </w:r>
    </w:p>
    <w:p w14:paraId="24232AE7">
      <w:pPr>
        <w:pStyle w:val="11"/>
        <w:spacing w:before="312"/>
        <w:ind w:firstLine="480"/>
      </w:pPr>
      <w:bookmarkStart w:id="116" w:name="_Toc396754325"/>
      <w:bookmarkStart w:id="117" w:name="_Toc27822026"/>
      <w:bookmarkStart w:id="118" w:name="_Toc66346883"/>
      <w:bookmarkStart w:id="119" w:name="_Toc429389038"/>
      <w:r>
        <w:rPr>
          <w:rFonts w:hint="eastAsia"/>
        </w:rPr>
        <w:t>2023年，具有建设工程监理资质的企业承揽监理合同额2024.2亿元，同比减少1.6%。</w:t>
      </w:r>
    </w:p>
    <w:p w14:paraId="249EB844">
      <w:pPr>
        <w:pStyle w:val="11"/>
        <w:spacing w:before="312"/>
        <w:ind w:firstLine="480"/>
      </w:pPr>
    </w:p>
    <w:p w14:paraId="6A1EC474">
      <w:pPr>
        <w:pStyle w:val="11"/>
        <w:spacing w:before="312"/>
        <w:ind w:firstLine="480"/>
      </w:pPr>
    </w:p>
    <w:p w14:paraId="268EC275">
      <w:pPr>
        <w:pStyle w:val="11"/>
        <w:spacing w:before="312"/>
        <w:ind w:firstLine="480"/>
      </w:pPr>
    </w:p>
    <w:p w14:paraId="3E99D75D">
      <w:pPr>
        <w:pStyle w:val="11"/>
        <w:spacing w:before="312"/>
        <w:ind w:firstLine="480"/>
      </w:pPr>
    </w:p>
    <w:p w14:paraId="6D7ECFF4">
      <w:pPr>
        <w:pStyle w:val="11"/>
        <w:spacing w:before="312"/>
        <w:ind w:firstLine="480"/>
      </w:pPr>
    </w:p>
    <w:p w14:paraId="3DAA873A">
      <w:pPr>
        <w:pStyle w:val="11"/>
        <w:spacing w:before="312"/>
        <w:ind w:firstLine="480"/>
        <w:rPr>
          <w:rFonts w:hint="eastAsia"/>
        </w:rPr>
      </w:pPr>
    </w:p>
    <w:p w14:paraId="4BEC4495">
      <w:pPr>
        <w:pStyle w:val="12"/>
        <w:spacing w:before="312"/>
      </w:pPr>
      <w:bookmarkStart w:id="120" w:name="_Toc106813183"/>
      <w:bookmarkStart w:id="121" w:name="_Toc27822585"/>
      <w:bookmarkStart w:id="122" w:name="_Toc106800166"/>
      <w:bookmarkStart w:id="123" w:name="_Toc176026080"/>
      <w:bookmarkStart w:id="124" w:name="_Toc66347385"/>
      <w:bookmarkStart w:id="125" w:name="_Toc43906196"/>
      <w:r>
        <w:rPr>
          <w:rFonts w:hint="eastAsia"/>
        </w:rPr>
        <w:t>图表：2019-2023年中国工程监理企业工程监理合同额</w:t>
      </w:r>
      <w:bookmarkEnd w:id="120"/>
      <w:bookmarkEnd w:id="121"/>
      <w:bookmarkEnd w:id="122"/>
      <w:bookmarkEnd w:id="123"/>
      <w:bookmarkEnd w:id="124"/>
      <w:bookmarkEnd w:id="125"/>
    </w:p>
    <w:p w14:paraId="420FE93C">
      <w:pPr>
        <w:pStyle w:val="16"/>
        <w:spacing w:before="156"/>
      </w:pPr>
      <w:r>
        <w:drawing>
          <wp:inline distT="0" distB="0" distL="0" distR="0">
            <wp:extent cx="4572000" cy="2743200"/>
            <wp:effectExtent l="4445" t="4445" r="10795" b="10795"/>
            <wp:docPr id="51097772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7738C38">
      <w:pPr>
        <w:pStyle w:val="15"/>
        <w:spacing w:before="156"/>
      </w:pPr>
      <w:r>
        <w:rPr>
          <w:rFonts w:hint="eastAsia"/>
        </w:rPr>
        <w:t>数据来源：国家住建部、中经指南信息咨询中心</w:t>
      </w:r>
    </w:p>
    <w:p w14:paraId="2D4A71BB">
      <w:pPr>
        <w:pStyle w:val="11"/>
        <w:spacing w:before="312"/>
        <w:ind w:firstLine="480"/>
      </w:pPr>
      <w:r>
        <w:rPr>
          <w:rFonts w:hint="eastAsia"/>
        </w:rPr>
        <w:t>2023年，工程勘察设计、工程招标代理、工程造价咨询、工程项目管理与咨询服务、全过程工程咨询及其它业务合同额8198.5亿元，同比增长21.0%。</w:t>
      </w:r>
    </w:p>
    <w:p w14:paraId="1BF9E788">
      <w:pPr>
        <w:pStyle w:val="12"/>
        <w:spacing w:before="312"/>
      </w:pPr>
      <w:bookmarkStart w:id="126" w:name="_Toc149848949"/>
      <w:bookmarkStart w:id="127" w:name="_Toc176026081"/>
      <w:r>
        <w:rPr>
          <w:rFonts w:hint="eastAsia"/>
        </w:rPr>
        <w:t>图表：2019-2023年中国工程监理企业工程勘察设计、工程招标代理、工程造价咨询、工程项目管理与咨询服务、全过程工程咨询、工程施工及其它业务合同额情况</w:t>
      </w:r>
      <w:bookmarkEnd w:id="126"/>
      <w:bookmarkEnd w:id="127"/>
    </w:p>
    <w:p w14:paraId="5D3402A7">
      <w:pPr>
        <w:pStyle w:val="16"/>
        <w:spacing w:before="120"/>
      </w:pPr>
      <w:r>
        <w:drawing>
          <wp:inline distT="0" distB="0" distL="0" distR="0">
            <wp:extent cx="4572000" cy="2743200"/>
            <wp:effectExtent l="4445" t="4445" r="10795" b="10795"/>
            <wp:docPr id="30086005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56ADFD">
      <w:pPr>
        <w:pStyle w:val="15"/>
        <w:spacing w:before="120"/>
      </w:pPr>
      <w:r>
        <w:rPr>
          <w:rFonts w:hint="eastAsia"/>
        </w:rPr>
        <w:t>数据来源：国家住建部、中经指南信息咨询中心</w:t>
      </w:r>
    </w:p>
    <w:p w14:paraId="26D72FFD">
      <w:pPr>
        <w:pStyle w:val="4"/>
        <w:spacing w:before="312"/>
        <w:ind w:firstLine="482"/>
      </w:pPr>
      <w:bookmarkStart w:id="128" w:name="_Toc176025899"/>
      <w:r>
        <w:rPr>
          <w:rFonts w:hint="eastAsia"/>
        </w:rPr>
        <w:t>四、工程监理企业营业收入</w:t>
      </w:r>
      <w:bookmarkEnd w:id="116"/>
      <w:bookmarkEnd w:id="117"/>
      <w:bookmarkEnd w:id="118"/>
      <w:bookmarkEnd w:id="119"/>
      <w:r>
        <w:rPr>
          <w:rFonts w:hint="eastAsia"/>
        </w:rPr>
        <w:t>分析</w:t>
      </w:r>
      <w:bookmarkEnd w:id="128"/>
    </w:p>
    <w:p w14:paraId="2858C944">
      <w:pPr>
        <w:pStyle w:val="11"/>
        <w:spacing w:before="312"/>
        <w:ind w:firstLine="480"/>
        <w:rPr>
          <w:rFonts w:hint="eastAsia"/>
        </w:rPr>
      </w:pPr>
      <w:r>
        <w:rPr>
          <w:rFonts w:hint="eastAsia"/>
        </w:rPr>
        <w:t>2022年，工程监理企业全年营业收入12809.</w:t>
      </w:r>
      <w:r>
        <w:t>59</w:t>
      </w:r>
      <w:r>
        <w:rPr>
          <w:rFonts w:hint="eastAsia"/>
        </w:rPr>
        <w:t>亿元，与2021年相比增长35.2%。2023年，工程监理企业全年营业收入</w:t>
      </w:r>
      <w:r>
        <w:t>6684.2</w:t>
      </w:r>
      <w:r>
        <w:rPr>
          <w:rFonts w:hint="eastAsia"/>
        </w:rPr>
        <w:t>亿元。</w:t>
      </w:r>
    </w:p>
    <w:p w14:paraId="712DECB3">
      <w:pPr>
        <w:pStyle w:val="12"/>
        <w:spacing w:before="312"/>
      </w:pPr>
      <w:bookmarkStart w:id="129" w:name="_Toc27822587"/>
      <w:bookmarkStart w:id="130" w:name="_Toc27755846"/>
      <w:bookmarkStart w:id="131" w:name="_Toc43906198"/>
      <w:bookmarkStart w:id="132" w:name="_Toc66347387"/>
      <w:bookmarkStart w:id="133" w:name="_Toc106813185"/>
      <w:bookmarkStart w:id="134" w:name="_Toc176026082"/>
      <w:bookmarkStart w:id="135" w:name="_Toc106800167"/>
      <w:r>
        <w:rPr>
          <w:rFonts w:hint="eastAsia"/>
        </w:rPr>
        <w:t>图表：2019-2023年中国工程监理企业</w:t>
      </w:r>
      <w:bookmarkEnd w:id="129"/>
      <w:bookmarkEnd w:id="130"/>
      <w:r>
        <w:rPr>
          <w:rFonts w:hint="eastAsia"/>
        </w:rPr>
        <w:t>营业收入</w:t>
      </w:r>
      <w:bookmarkEnd w:id="131"/>
      <w:bookmarkEnd w:id="132"/>
      <w:bookmarkEnd w:id="133"/>
      <w:bookmarkEnd w:id="134"/>
      <w:bookmarkEnd w:id="135"/>
    </w:p>
    <w:p w14:paraId="09DE754F">
      <w:pPr>
        <w:pStyle w:val="16"/>
        <w:spacing w:before="156"/>
      </w:pPr>
      <w:r>
        <w:drawing>
          <wp:inline distT="0" distB="0" distL="0" distR="0">
            <wp:extent cx="4572000" cy="2743200"/>
            <wp:effectExtent l="4445" t="4445" r="10795" b="10795"/>
            <wp:docPr id="120919271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64708EE">
      <w:pPr>
        <w:pStyle w:val="15"/>
        <w:spacing w:before="156"/>
      </w:pPr>
      <w:r>
        <w:rPr>
          <w:rFonts w:hint="eastAsia"/>
        </w:rPr>
        <w:t>数据来源：国家住建部、中经指南信息咨询中心</w:t>
      </w:r>
    </w:p>
    <w:p w14:paraId="48F21AFB">
      <w:pPr>
        <w:pStyle w:val="11"/>
        <w:spacing w:before="312"/>
        <w:ind w:firstLine="480"/>
      </w:pPr>
      <w:r>
        <w:rPr>
          <w:rFonts w:hint="eastAsia"/>
        </w:rPr>
        <w:t>2023年，具有建设工程监理资质的企业全年监理收入1676.4亿元，与2022年基本持平。</w:t>
      </w:r>
    </w:p>
    <w:p w14:paraId="1D3160F7">
      <w:pPr>
        <w:pStyle w:val="11"/>
        <w:spacing w:before="312"/>
        <w:ind w:firstLine="480"/>
      </w:pPr>
    </w:p>
    <w:p w14:paraId="36D86AF2">
      <w:pPr>
        <w:pStyle w:val="11"/>
        <w:spacing w:before="312"/>
        <w:ind w:firstLine="480"/>
      </w:pPr>
    </w:p>
    <w:p w14:paraId="3A2F193A">
      <w:pPr>
        <w:pStyle w:val="11"/>
        <w:spacing w:before="312"/>
        <w:ind w:firstLine="480"/>
      </w:pPr>
    </w:p>
    <w:p w14:paraId="535F7EC0">
      <w:pPr>
        <w:pStyle w:val="11"/>
        <w:spacing w:before="312"/>
        <w:ind w:firstLine="480"/>
      </w:pPr>
    </w:p>
    <w:p w14:paraId="7206AAB9">
      <w:pPr>
        <w:pStyle w:val="11"/>
        <w:spacing w:before="312"/>
        <w:ind w:firstLine="480"/>
      </w:pPr>
    </w:p>
    <w:p w14:paraId="60408BA3">
      <w:pPr>
        <w:pStyle w:val="11"/>
        <w:spacing w:before="312"/>
        <w:ind w:firstLine="480"/>
      </w:pPr>
    </w:p>
    <w:p w14:paraId="01D4A98D">
      <w:pPr>
        <w:pStyle w:val="12"/>
        <w:spacing w:before="312"/>
      </w:pPr>
      <w:bookmarkStart w:id="136" w:name="_Toc43906199"/>
      <w:bookmarkStart w:id="137" w:name="_Toc27822588"/>
      <w:bookmarkStart w:id="138" w:name="_Toc66347388"/>
      <w:bookmarkStart w:id="139" w:name="_Toc106800168"/>
      <w:bookmarkStart w:id="140" w:name="_Toc106813186"/>
      <w:bookmarkStart w:id="141" w:name="_Toc149848954"/>
      <w:bookmarkStart w:id="142" w:name="_Toc176026083"/>
      <w:r>
        <w:rPr>
          <w:rFonts w:hint="eastAsia"/>
        </w:rPr>
        <w:t>图表：2019-2023年中国工程监理企业工程监理收入</w:t>
      </w:r>
      <w:bookmarkEnd w:id="136"/>
      <w:bookmarkEnd w:id="137"/>
      <w:bookmarkEnd w:id="138"/>
      <w:bookmarkEnd w:id="139"/>
      <w:bookmarkEnd w:id="140"/>
      <w:r>
        <w:rPr>
          <w:rFonts w:hint="eastAsia"/>
        </w:rPr>
        <w:t>情况</w:t>
      </w:r>
      <w:bookmarkEnd w:id="141"/>
      <w:bookmarkEnd w:id="142"/>
    </w:p>
    <w:p w14:paraId="56793726">
      <w:pPr>
        <w:pStyle w:val="16"/>
        <w:spacing w:before="120"/>
      </w:pPr>
      <w:r>
        <w:drawing>
          <wp:inline distT="0" distB="0" distL="0" distR="0">
            <wp:extent cx="4572000" cy="2743200"/>
            <wp:effectExtent l="4445" t="4445" r="10795" b="10795"/>
            <wp:docPr id="21109130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3459E1A">
      <w:pPr>
        <w:pStyle w:val="15"/>
        <w:spacing w:before="120"/>
      </w:pPr>
      <w:r>
        <w:rPr>
          <w:rFonts w:hint="eastAsia"/>
        </w:rPr>
        <w:t>数据来源：国家住建部、中经指南信息咨询中心</w:t>
      </w:r>
    </w:p>
    <w:p w14:paraId="3D642B71">
      <w:pPr>
        <w:pStyle w:val="11"/>
        <w:spacing w:before="312"/>
        <w:ind w:firstLine="480"/>
      </w:pPr>
      <w:bookmarkStart w:id="143" w:name="_Toc429389009"/>
      <w:bookmarkStart w:id="144" w:name="_Toc66346854"/>
      <w:bookmarkStart w:id="145" w:name="_Toc396754296"/>
      <w:bookmarkStart w:id="146" w:name="_Toc27821997"/>
      <w:r>
        <w:rPr>
          <w:rFonts w:hint="eastAsia"/>
        </w:rPr>
        <w:t>2023年，工程勘察设计、工程招标代理、工程造价咨询、工程项目管理与咨询服务、全过程工程咨询及其它业务收入5007.8亿元，同比增长19.7%。其中，45个企业监理收入超过3亿元，101个企业监理收入超过2亿元，287个企业监理收入超过1亿元，监理收入超过1亿元的企业个数与2022年基本持平。</w:t>
      </w:r>
    </w:p>
    <w:p w14:paraId="2B49E3B3">
      <w:pPr>
        <w:pStyle w:val="11"/>
        <w:spacing w:before="312"/>
        <w:ind w:firstLine="480"/>
      </w:pPr>
    </w:p>
    <w:p w14:paraId="1080E259">
      <w:pPr>
        <w:pStyle w:val="11"/>
        <w:spacing w:before="312"/>
        <w:ind w:firstLine="480"/>
      </w:pPr>
    </w:p>
    <w:p w14:paraId="310F3DB5">
      <w:pPr>
        <w:pStyle w:val="11"/>
        <w:spacing w:before="312"/>
        <w:ind w:firstLine="480"/>
      </w:pPr>
    </w:p>
    <w:p w14:paraId="0B434A5D">
      <w:pPr>
        <w:pStyle w:val="11"/>
        <w:spacing w:before="312"/>
        <w:ind w:firstLine="480"/>
      </w:pPr>
    </w:p>
    <w:p w14:paraId="5EA88649">
      <w:pPr>
        <w:pStyle w:val="11"/>
        <w:spacing w:before="312"/>
        <w:ind w:firstLine="480"/>
      </w:pPr>
    </w:p>
    <w:p w14:paraId="1794B61A">
      <w:pPr>
        <w:pStyle w:val="11"/>
        <w:spacing w:before="312"/>
        <w:ind w:firstLine="480"/>
      </w:pPr>
    </w:p>
    <w:p w14:paraId="307A6D07">
      <w:pPr>
        <w:pStyle w:val="11"/>
        <w:spacing w:before="312"/>
        <w:ind w:firstLine="480"/>
        <w:rPr>
          <w:rFonts w:hint="eastAsia"/>
        </w:rPr>
      </w:pPr>
    </w:p>
    <w:p w14:paraId="46E370CE">
      <w:pPr>
        <w:pStyle w:val="12"/>
        <w:spacing w:before="312"/>
      </w:pPr>
      <w:bookmarkStart w:id="147" w:name="_Toc176026084"/>
      <w:bookmarkStart w:id="148" w:name="_Toc149848953"/>
      <w:r>
        <w:rPr>
          <w:rFonts w:hint="eastAsia"/>
        </w:rPr>
        <w:t>图表：2019-2023年中国工程监理企业工程勘察设计、工程招标代理、工程造价咨询、工程项目管理与咨询服务、全过程工程咨询、工程施工及其它业务收入情况</w:t>
      </w:r>
      <w:bookmarkEnd w:id="147"/>
      <w:bookmarkEnd w:id="148"/>
    </w:p>
    <w:p w14:paraId="1E6B781D">
      <w:pPr>
        <w:pStyle w:val="16"/>
        <w:spacing w:before="120"/>
      </w:pPr>
      <w:r>
        <w:drawing>
          <wp:inline distT="0" distB="0" distL="0" distR="0">
            <wp:extent cx="4572000" cy="2743200"/>
            <wp:effectExtent l="4445" t="4445" r="10795" b="10795"/>
            <wp:docPr id="156750056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BEBABE2">
      <w:pPr>
        <w:pStyle w:val="15"/>
        <w:spacing w:before="120"/>
      </w:pPr>
      <w:r>
        <w:rPr>
          <w:rFonts w:hint="eastAsia"/>
        </w:rPr>
        <w:t>数据来源：国家住建部、中经指南信息咨询中心</w:t>
      </w:r>
    </w:p>
    <w:p w14:paraId="52F08279">
      <w:pPr>
        <w:pStyle w:val="3"/>
        <w:spacing w:before="312"/>
      </w:pPr>
      <w:bookmarkStart w:id="149" w:name="_Toc176025900"/>
      <w:r>
        <w:rPr>
          <w:rFonts w:hint="eastAsia"/>
        </w:rPr>
        <w:t>第四节 工程监理模式及创新分析</w:t>
      </w:r>
      <w:bookmarkEnd w:id="143"/>
      <w:bookmarkEnd w:id="144"/>
      <w:bookmarkEnd w:id="145"/>
      <w:bookmarkEnd w:id="146"/>
      <w:bookmarkEnd w:id="149"/>
    </w:p>
    <w:p w14:paraId="6FCA2B01">
      <w:pPr>
        <w:pStyle w:val="4"/>
        <w:spacing w:before="312"/>
        <w:ind w:firstLine="482"/>
      </w:pPr>
      <w:bookmarkStart w:id="150" w:name="_Toc396754297"/>
      <w:bookmarkStart w:id="151" w:name="_Toc66346855"/>
      <w:bookmarkStart w:id="152" w:name="_Toc27821998"/>
      <w:bookmarkStart w:id="153" w:name="_Toc429389010"/>
      <w:bookmarkStart w:id="154" w:name="_Toc176025901"/>
      <w:r>
        <w:rPr>
          <w:rFonts w:hint="eastAsia"/>
        </w:rPr>
        <w:t>一、工程监理现行模式分析</w:t>
      </w:r>
      <w:bookmarkEnd w:id="150"/>
      <w:bookmarkEnd w:id="151"/>
      <w:bookmarkEnd w:id="152"/>
      <w:bookmarkEnd w:id="153"/>
      <w:bookmarkEnd w:id="154"/>
    </w:p>
    <w:p w14:paraId="39E0B768">
      <w:pPr>
        <w:pStyle w:val="11"/>
        <w:spacing w:before="312"/>
        <w:ind w:firstLine="480"/>
      </w:pPr>
      <w:r>
        <w:rPr>
          <w:rFonts w:hint="eastAsia"/>
        </w:rPr>
        <w:t>我国的工程建设监理模式是根据美国、法国、日本等国广泛应用的项目管理理论，结合我国的具体情况而建立的。监理模式是一种管理的方法，是一种管理的套路，是一种在社会实践中逐步形成的思维定式。现行的监理模式对我国监理行业的发展发挥了积极的作用，对我国的工程建设作出了应有的贡献，但其利弊随着社会的不断进步也越来越突出、越来越分明。多年来，在建设各方不同的运作下，监理模式形成了很多不同的类型，归纳起来有社会型、业主型和混合型等。</w:t>
      </w:r>
    </w:p>
    <w:p w14:paraId="7CE8D5F0">
      <w:pPr>
        <w:pStyle w:val="11"/>
        <w:spacing w:before="312"/>
        <w:ind w:firstLine="480"/>
      </w:pPr>
      <w:bookmarkStart w:id="155" w:name="_Toc429389011"/>
      <w:bookmarkStart w:id="156" w:name="_Toc27821999"/>
      <w:bookmarkStart w:id="157" w:name="_Toc396754298"/>
      <w:bookmarkStart w:id="158" w:name="_Toc66346856"/>
      <w:r>
        <w:rPr>
          <w:rFonts w:hint="eastAsia"/>
        </w:rPr>
        <w:t>1、社会型</w:t>
      </w:r>
      <w:bookmarkEnd w:id="155"/>
      <w:bookmarkEnd w:id="156"/>
      <w:bookmarkEnd w:id="157"/>
      <w:bookmarkEnd w:id="158"/>
    </w:p>
    <w:p w14:paraId="0B644B22">
      <w:pPr>
        <w:pStyle w:val="11"/>
        <w:spacing w:before="312"/>
        <w:ind w:firstLine="480"/>
      </w:pPr>
      <w:r>
        <w:rPr>
          <w:rFonts w:hint="eastAsia"/>
        </w:rPr>
        <w:t>（1）工程监理是指具有监理资质的监理企业，接受业主的委托，与业主签订委托监理合同，在业主授权范围内，依据有关工程建设的法律法规、技术标准，综合运用法律、技术、经济等手段，对工程建设各方的行为和职责，进行必要的协调与约束，对工程质量、进度、投资、安全、环保及合同其他事项实施有效监督管理的一种有偿的技术服务活动。即通常所说的社会监理，它具有服务性、科学性、委托性和公正性，是国家多年来一直推行的“根正苗红、血液正统”的监理模式。</w:t>
      </w:r>
    </w:p>
    <w:p w14:paraId="21A2FD0B">
      <w:pPr>
        <w:pStyle w:val="11"/>
        <w:spacing w:before="312"/>
        <w:ind w:firstLine="480"/>
      </w:pPr>
      <w:r>
        <w:rPr>
          <w:rFonts w:hint="eastAsia"/>
        </w:rPr>
        <w:t>（2）社会监理具有“守法、诚信、公正、科学”的执业准则，是独立的第三方，没有来自业主或政府行政部门的干扰，能站在公正的角度处理各种事务。此模式的最大特点是能充分调动从业人员的工作积极性，能尽情发挥执业人员的聪明才智，能按合同要求为业主提供高质量、高水平、高智能的“三高”服务。然而，这种纯粹的理论的完美化的监理模式在我国真正实现的个案并不多见。取而代之的是业主型或混合型。</w:t>
      </w:r>
    </w:p>
    <w:p w14:paraId="04D2507D">
      <w:pPr>
        <w:pStyle w:val="11"/>
        <w:spacing w:before="312"/>
        <w:ind w:firstLine="480"/>
      </w:pPr>
      <w:r>
        <w:rPr>
          <w:rFonts w:hint="eastAsia"/>
        </w:rPr>
        <w:t>（3）社会型监理模式没有完完整整地实施起来，有其社会的原因，也有基本身的原因。社会原因是广大业主的真正需求并没有真正的到来，而是因国家强制性推行，业主不得不接受；计划经济时代的传统观念在某些业主的心目中一时半会还抛弃不掉。本身的原因是对监理行业的服务定位高，对经营企业的条件要求高，对从业人员的能力要求高，企业和个人二者有一者达不到要求或二者均达不到要求，久而久之，便失去了业主的信任，激起了业主的连连不满，继而遭到业主的反对，使监理的社会地位一落千丈，多才多能的监理外衣被渐渐地层层剥离。</w:t>
      </w:r>
    </w:p>
    <w:p w14:paraId="13667573">
      <w:pPr>
        <w:pStyle w:val="11"/>
        <w:spacing w:before="312"/>
        <w:ind w:firstLine="480"/>
      </w:pPr>
      <w:bookmarkStart w:id="159" w:name="_Toc66346857"/>
      <w:bookmarkStart w:id="160" w:name="_Toc27822000"/>
      <w:bookmarkStart w:id="161" w:name="_Toc429389012"/>
      <w:bookmarkStart w:id="162" w:name="_Toc396754299"/>
      <w:r>
        <w:rPr>
          <w:rFonts w:hint="eastAsia"/>
        </w:rPr>
        <w:t>2、业主型</w:t>
      </w:r>
      <w:bookmarkEnd w:id="159"/>
      <w:bookmarkEnd w:id="160"/>
      <w:bookmarkEnd w:id="161"/>
      <w:bookmarkEnd w:id="162"/>
    </w:p>
    <w:p w14:paraId="5CB46C6E">
      <w:pPr>
        <w:pStyle w:val="11"/>
        <w:spacing w:before="312"/>
        <w:ind w:firstLine="480"/>
      </w:pPr>
      <w:r>
        <w:rPr>
          <w:rFonts w:hint="eastAsia"/>
        </w:rPr>
        <w:t>（1）由于社会型监理模式的服务质量和服务水平不能完全满足各个类型业主的不同需求，一些业主依旧保持着在项目施工现场组建项目管理部或在某某领导下成立名副其实的项目管理公司，参与工程建设的监督和管理工作。工程质量、进度、安全、环保的监控权放给监理，工程付款、图纸变更、业务签证、索赔审批等权力归属自己。这种表面上看上去业主和监理是平起平坐、并驾齐驱，而实际上表面的背后，隐藏着责权极不均等的领导与被领导的监理模式，称为业主型。其实，这是一种半架空监理企业的变向的社会监理模式。</w:t>
      </w:r>
    </w:p>
    <w:p w14:paraId="10B0A5E2">
      <w:pPr>
        <w:pStyle w:val="11"/>
        <w:spacing w:before="312"/>
        <w:ind w:firstLine="480"/>
      </w:pPr>
      <w:r>
        <w:rPr>
          <w:rFonts w:hint="eastAsia"/>
        </w:rPr>
        <w:t>（2）业主型监理模式既能够产生又能够延用，自然会有它出炉和末衰的道理。一、业主能随时了解工程进度的真真切切地进展情况（这是业主最关心的），二、业主的人才资源弥补了监理企业人才不足的缺陷，三、业主掌握着投资的生杀大权，自己的钱还是自己用着踏实（这是业主对他人不信任感的一种满足），四、监督监理人员尽职工作，及时提醒监理企业按质按量履行合同，五、利用业主身份的优势亲自处理相关协调事宜，可缩短协调时间，提高工作效率。</w:t>
      </w:r>
    </w:p>
    <w:p w14:paraId="63D8947C">
      <w:pPr>
        <w:pStyle w:val="11"/>
        <w:spacing w:before="312"/>
        <w:ind w:firstLine="480"/>
      </w:pPr>
      <w:r>
        <w:rPr>
          <w:rFonts w:hint="eastAsia"/>
        </w:rPr>
        <w:t>（3）业主型监理模式有一定的存活率，而缺点也是显而易见的：对监理的工作有较大的影响，监理不能独立自主地工作；监理虽有工程质量、进度、安全等控制权，但没有呼风唤雨的财权，其实质量、进度、安全等的控制权也是一纸空文；不利于监理企业多能型、复合型人才的培养和造就，削弱了监理企业的核心竞争力；不利于监理行业向专业化、规范化、标准化、规模化方向发展；不利于监理市场的健康培育。</w:t>
      </w:r>
    </w:p>
    <w:p w14:paraId="06C53A88">
      <w:pPr>
        <w:pStyle w:val="11"/>
        <w:spacing w:before="312"/>
        <w:ind w:firstLine="480"/>
      </w:pPr>
      <w:bookmarkStart w:id="163" w:name="_Toc66346858"/>
      <w:bookmarkStart w:id="164" w:name="_Toc27822001"/>
      <w:bookmarkStart w:id="165" w:name="_Toc396754300"/>
      <w:bookmarkStart w:id="166" w:name="_Toc429389013"/>
      <w:r>
        <w:rPr>
          <w:rFonts w:hint="eastAsia"/>
        </w:rPr>
        <w:t>3、混合型</w:t>
      </w:r>
      <w:bookmarkEnd w:id="163"/>
      <w:bookmarkEnd w:id="164"/>
      <w:bookmarkEnd w:id="165"/>
      <w:bookmarkEnd w:id="166"/>
    </w:p>
    <w:p w14:paraId="576332F2">
      <w:pPr>
        <w:pStyle w:val="11"/>
        <w:spacing w:before="312"/>
        <w:ind w:firstLine="480"/>
      </w:pPr>
      <w:r>
        <w:rPr>
          <w:rFonts w:hint="eastAsia"/>
        </w:rPr>
        <w:t>（1）根据建设规模的大小，业主成立不同性质的工程建设指挥部或项目建设办公室，以指挥部或办公室的名义组建项目监理组，指令签约的监理企业任命指定的项目总监理工程师，将监理组纳入指挥部的管辖范围之内，监理组按照指挥部的指令开展监理工作，这是一种现实中存在较多的混合型监理模式。这种模式因“敌”中有我，我中有“敌”，故也称为联合型监理模式。与业主型监理模式相比有过之而无不及，是一种地地道道的全架空监理企业的变态的社会监理模式。</w:t>
      </w:r>
    </w:p>
    <w:p w14:paraId="13A648F4">
      <w:pPr>
        <w:pStyle w:val="11"/>
        <w:spacing w:before="312"/>
        <w:ind w:firstLine="480"/>
      </w:pPr>
      <w:r>
        <w:rPr>
          <w:rFonts w:hint="eastAsia"/>
        </w:rPr>
        <w:t>（2）混合型监理模式的诞生，一方面有其计划经济时代“基建办公室”的缩影，另一方面它也不是一无是处。指挥部成员都是从各个部门或单位临时调遣过来的精兵强将，对监理企业的综合监理能力有最大限度地提高。组织协调和沟通能力一直是建设单位的强项和掌门绝活，而质量监控能力却是监理企业世代真传的拿手好戏和看门本领，若指挥部能与监理企业精诚合作，则两家都能获得最大的优势互补。指挥部统一安排建设项目管理工作，业主可在第一时间获得项目实施情况的第一手资料，便于决策的调整和完善。</w:t>
      </w:r>
    </w:p>
    <w:p w14:paraId="6D4986B7">
      <w:pPr>
        <w:pStyle w:val="11"/>
        <w:spacing w:before="312"/>
        <w:ind w:firstLine="480"/>
      </w:pPr>
      <w:r>
        <w:rPr>
          <w:rFonts w:hint="eastAsia"/>
        </w:rPr>
        <w:t>（3）混合型监理模式有一定的可取之处，而弊端也是不言而喻的。它最大地干扰着监理的独立性工作，使监理的工作流于形式，监理的主要作用变成了业主办理建设手续的棋子。与国家法规背道而驰，阻碍社会型监理模式的推行，扰乱正常的监理程序，破坏监理行业的有序竞争。一旦发生安全质量事故，由于业主和监理是不同性质和所承担的责任截然不同的两个单位，就会出现相互推诿，责任难以分清的尴尬局面，造成资源内耗，降低工作效率。</w:t>
      </w:r>
    </w:p>
    <w:p w14:paraId="38C1FEA9">
      <w:pPr>
        <w:pStyle w:val="4"/>
        <w:spacing w:before="312"/>
        <w:ind w:firstLine="482"/>
      </w:pPr>
      <w:bookmarkStart w:id="167" w:name="_Toc396754301"/>
      <w:bookmarkStart w:id="168" w:name="_Toc429389014"/>
      <w:bookmarkStart w:id="169" w:name="_Toc27822002"/>
      <w:bookmarkStart w:id="170" w:name="_Toc176025902"/>
      <w:bookmarkStart w:id="171" w:name="_Toc66346859"/>
      <w:r>
        <w:rPr>
          <w:rFonts w:hint="eastAsia"/>
        </w:rPr>
        <w:t>二、工程监理创新模式分析</w:t>
      </w:r>
      <w:bookmarkEnd w:id="167"/>
      <w:bookmarkEnd w:id="168"/>
      <w:bookmarkEnd w:id="169"/>
      <w:bookmarkEnd w:id="170"/>
      <w:bookmarkEnd w:id="171"/>
    </w:p>
    <w:p w14:paraId="05536DB1">
      <w:pPr>
        <w:pStyle w:val="11"/>
        <w:spacing w:before="312"/>
        <w:ind w:firstLine="480"/>
      </w:pPr>
      <w:r>
        <w:rPr>
          <w:rFonts w:hint="eastAsia"/>
        </w:rPr>
        <w:t>所谓创新的监理模式，实际上是指对我国现行的监理模式而言是一种创新，而对国外欧美发达国家来说则归为传统。也就是说，是指从国外原版引进的原汁原味的监理模式。这是我国加入世贸组织后新形势的需要，是我国工程监理与国际惯例接轨的需要，是我国监理企业博弈国际监理市场的需要，是我国建设工程监理制度的自我完善。新的模式需要新的土壤，需要新的阳光，需要新的环境，更需要众多的伯乐从幕后走上前台。</w:t>
      </w:r>
    </w:p>
    <w:p w14:paraId="6CA3E009">
      <w:pPr>
        <w:pStyle w:val="11"/>
        <w:spacing w:before="312"/>
        <w:ind w:firstLine="480"/>
      </w:pPr>
      <w:bookmarkStart w:id="172" w:name="_Toc429389015"/>
      <w:bookmarkStart w:id="173" w:name="_Toc396754302"/>
      <w:bookmarkStart w:id="174" w:name="_Toc66346860"/>
      <w:bookmarkStart w:id="175" w:name="_Toc27822003"/>
      <w:r>
        <w:rPr>
          <w:rFonts w:hint="eastAsia"/>
        </w:rPr>
        <w:t>1、工程项目管理</w:t>
      </w:r>
      <w:bookmarkEnd w:id="172"/>
      <w:bookmarkEnd w:id="173"/>
      <w:bookmarkEnd w:id="174"/>
      <w:bookmarkEnd w:id="175"/>
    </w:p>
    <w:p w14:paraId="65D6B712">
      <w:pPr>
        <w:pStyle w:val="11"/>
        <w:spacing w:before="312"/>
        <w:ind w:firstLine="480"/>
      </w:pPr>
      <w:r>
        <w:rPr>
          <w:rFonts w:hint="eastAsia"/>
        </w:rPr>
        <w:t>（1）为适应社会主义市场经济发展和加入世界贸易组织后新形势的要求，建设部《关于培育发展工程总承包和工程项目管理企业的指导意见》，将工程项目管理定义为：从事工程项目管理的企业受业主委托，按照合同约定，代表业主对工程项目的组织实施进行全过程或若干阶段的管理和服务，并指出：打破行业界限，允许工程勘察、设计、施工、监理等企业，按照有关规定申请取得其他相应资质。次年十一月建设部再次出台了《建设工程项目管理试行办法》，由此可见，现行的监理模式向新型监理模式转变已成大势之趋。</w:t>
      </w:r>
    </w:p>
    <w:p w14:paraId="793A2CD7">
      <w:pPr>
        <w:pStyle w:val="11"/>
        <w:spacing w:before="312"/>
        <w:ind w:firstLine="480"/>
      </w:pPr>
      <w:r>
        <w:rPr>
          <w:rFonts w:hint="eastAsia"/>
        </w:rPr>
        <w:t>（2）工程项目管理起源于20 世纪50 年代后期。1958 年美国人在北极星导弹设计中，应用工程项目管理理论，使设计工作提前两年完成。从此后工程项目管理理论引起了西方国家人们的高度重视，并逐步形成了比较完善的科学体系。纵观国外的工程项目管理，其主要形式有：项目管理承包，项目管理和施工管理。为便于专业人才的培养和专业技术水平的提高，便于项目组成员的协同工作和提高劳动生产率，便于对专业人员业绩和能力的全面考核，在具体的实施中常采用矩阵型项目管理模式。</w:t>
      </w:r>
    </w:p>
    <w:p w14:paraId="47D7253F">
      <w:pPr>
        <w:pStyle w:val="11"/>
        <w:spacing w:before="312"/>
        <w:ind w:firstLine="480"/>
      </w:pPr>
      <w:r>
        <w:rPr>
          <w:rFonts w:hint="eastAsia"/>
        </w:rPr>
        <w:t>（3）根据国际惯例，我国的建设工程监理其实是属于国际上业主方的项目管理范畴。尽管如此，我国的业主方的项目管理与国外发达国家的项目管理相比，差距还是很大的。我国的勘察设计、施工、监理等参建单位分属于不同资质的相互独立的经济实体，没有建立与项目管理相对应的组织机构和项目管理体系。现行的监理模式多年来一直局限在施工阶段开展监理服务，其知识体系、组织形式、人才结构、技术标准、行业准则等都不能完全适应项目管理的需要，还需进一步完善和提高。故真正的工程项目管理的实现还有待时日。</w:t>
      </w:r>
    </w:p>
    <w:p w14:paraId="23BCC684">
      <w:pPr>
        <w:pStyle w:val="11"/>
        <w:spacing w:before="312"/>
        <w:ind w:firstLine="480"/>
      </w:pPr>
      <w:bookmarkStart w:id="176" w:name="_Toc66346861"/>
      <w:bookmarkStart w:id="177" w:name="_Toc429389016"/>
      <w:bookmarkStart w:id="178" w:name="_Toc396754303"/>
      <w:bookmarkStart w:id="179" w:name="_Toc27822004"/>
      <w:r>
        <w:rPr>
          <w:rFonts w:hint="eastAsia"/>
        </w:rPr>
        <w:t>2、工程项目咨询</w:t>
      </w:r>
      <w:bookmarkEnd w:id="176"/>
      <w:bookmarkEnd w:id="177"/>
      <w:bookmarkEnd w:id="178"/>
      <w:bookmarkEnd w:id="179"/>
    </w:p>
    <w:p w14:paraId="1C188D9F">
      <w:pPr>
        <w:pStyle w:val="11"/>
        <w:spacing w:before="312"/>
        <w:ind w:firstLine="480"/>
      </w:pPr>
      <w:r>
        <w:rPr>
          <w:rFonts w:hint="eastAsia"/>
        </w:rPr>
        <w:t>（1）我国的建设监理是一种高智能的有偿技术服务，国际上把这类服务归为工程咨询（工程顾问）服务，只是国际上的执业范围要比我国的宽广得多。其基本业务就是向需要咨询服务的客户，包括各种企业、事业单位和政府机构提供专业的咨询服务。可以是编制某地区行业的发展规划、行业未来走势等的宏观角度的通用性服务，也可以是某个工程项目的设计、管理、实施、监理等微观角度的专业性服务，还可以是为某政府部门提供的市场调研报告等特殊服务。</w:t>
      </w:r>
    </w:p>
    <w:p w14:paraId="74FDD42A">
      <w:pPr>
        <w:pStyle w:val="11"/>
        <w:spacing w:before="312"/>
        <w:ind w:firstLine="480"/>
      </w:pPr>
      <w:r>
        <w:rPr>
          <w:rFonts w:hint="eastAsia"/>
        </w:rPr>
        <w:t>（2）国外工程咨询企业既不隶属于国家政府部门，也不依附于其他经济实体，具有完整的经营独立性，在社会中享有较高的信誉。在英美发达国家工程咨询协会还利用其声誉和影响，直接出面或组织成员单位承接咨询项目，重视发挥行业协会的作用。与其不同的是我国的工程咨询企业大都来源于政府部门或大专院校，尽管脱钩了，但依然走不出“光环”的笼罩。行业协会所能起到的作用却是屈指可数的。这正是我国工程咨询业需要努力改进的工作方向。</w:t>
      </w:r>
    </w:p>
    <w:p w14:paraId="48C1536E">
      <w:pPr>
        <w:pStyle w:val="11"/>
        <w:spacing w:before="312"/>
        <w:ind w:firstLine="480"/>
      </w:pPr>
      <w:r>
        <w:rPr>
          <w:rFonts w:hint="eastAsia"/>
        </w:rPr>
        <w:t>（3）我国工程咨询业起步较晚，理论基础薄弱，竞争优势不强，体制转变不完全，观念转变不成熟，需求缺少调动，市场盲目引导，项目咨询方法和手段落后，设计程序、方法等与国际通行模式不接轨，缺乏先进的工程项目咨询管理系统软件，高素质的项目咨询人才严重不足。由此可见，我国工程咨询业的软件、硬件条件距国际标准还都有相当的路程，全过程、全方位的纯“绿色”工程项目咨询时代，在我国还远远没有到来。</w:t>
      </w:r>
    </w:p>
    <w:p w14:paraId="3BAA8CAF">
      <w:pPr>
        <w:pStyle w:val="11"/>
        <w:spacing w:before="312"/>
        <w:ind w:firstLine="480"/>
      </w:pPr>
      <w:bookmarkStart w:id="180" w:name="_Toc27822005"/>
      <w:bookmarkStart w:id="181" w:name="_Toc429389017"/>
      <w:bookmarkStart w:id="182" w:name="_Toc396754304"/>
      <w:bookmarkStart w:id="183" w:name="_Toc66346862"/>
      <w:r>
        <w:rPr>
          <w:rFonts w:hint="eastAsia"/>
        </w:rPr>
        <w:t>3、工程项目管理咨询</w:t>
      </w:r>
      <w:bookmarkEnd w:id="180"/>
      <w:bookmarkEnd w:id="181"/>
      <w:bookmarkEnd w:id="182"/>
      <w:bookmarkEnd w:id="183"/>
    </w:p>
    <w:p w14:paraId="18E3FABB">
      <w:pPr>
        <w:pStyle w:val="11"/>
        <w:spacing w:before="312"/>
        <w:ind w:firstLine="480"/>
      </w:pPr>
      <w:r>
        <w:rPr>
          <w:rFonts w:hint="eastAsia"/>
        </w:rPr>
        <w:t>（1）顾名思义，工程项目管理咨询就是集项目管理与咨询于一体的社会经济实体受项目业主的委托，可以从事项目管理服务，亦可从事项目咨询服务。可以是项目建设全过程的某个阶段或全过程的服务，也可以是项目全方位的服务，还可以是项目全过程和全方位的全范围跟踪服务，关键取决于项目业主服务的需要。从其服务的内容不难看出，从事工程项目管理咨询的执业人员要有较高的学术理论水平、专业技术水平和出色的协调能力；企业要拥有各类专业技术人才和雄厚的经济实力。</w:t>
      </w:r>
    </w:p>
    <w:p w14:paraId="7D1693A6">
      <w:pPr>
        <w:pStyle w:val="11"/>
        <w:spacing w:before="312"/>
        <w:ind w:firstLine="480"/>
      </w:pPr>
      <w:r>
        <w:rPr>
          <w:rFonts w:hint="eastAsia"/>
        </w:rPr>
        <w:t>（2）工程项目管理咨询服务的主要内容包括项目投资前的管理咨询、建设准备阶段的管理咨询、项目实施阶段的管理咨询和项目总结阶段的管理咨询。与国外同行相比，我国的工程项目管理咨询，专业领域不宽，业务范围不大，从业人员和企业数量也不多。据此，我国政府可从现有条件较好、实力较强的监理、设计、施工、造价等企业中直接审核确立一批项目管理咨询试点企业，也可培育或改造一批社会公信力较高的项目管理企业或项目咨询企业为项目管理咨询企业。有条件的具有综合资质的监理企业、大型招标代理和造价咨询企业可通过机构重组，完善功能，增强实力，过渡到工程项目管理咨询业。</w:t>
      </w:r>
    </w:p>
    <w:p w14:paraId="662B3E97">
      <w:pPr>
        <w:pStyle w:val="11"/>
        <w:spacing w:before="312"/>
        <w:ind w:firstLine="480"/>
      </w:pPr>
      <w:r>
        <w:rPr>
          <w:rFonts w:hint="eastAsia"/>
        </w:rPr>
        <w:t>（3）目前我国的工程项目管理咨询市场发育得还不健全，有为数可观的业主出于自身利益的考虑，不太愿意接受工程项目管理咨询服务。同时，我国关于工程项目管理咨询方面的法律、法规也不健全，也大大地影响了行业转向的步伐。因此，建设工程实现项目管理咨询一条龙服务，接轨国际惯例，打开国际市场，激活国内市场，开出一片新天地，政府和企业都有很多路要走，但只要起步了，目标总会越来越近。</w:t>
      </w:r>
    </w:p>
    <w:p w14:paraId="240D074A">
      <w:pPr>
        <w:pStyle w:val="3"/>
        <w:spacing w:before="312"/>
      </w:pPr>
      <w:bookmarkStart w:id="184" w:name="_Toc176025903"/>
      <w:r>
        <w:rPr>
          <w:rFonts w:hint="eastAsia"/>
        </w:rPr>
        <w:t>第五节 工程监理行业存在问题及发展对策分析</w:t>
      </w:r>
      <w:bookmarkEnd w:id="184"/>
    </w:p>
    <w:p w14:paraId="22DD72F5">
      <w:pPr>
        <w:pStyle w:val="4"/>
        <w:spacing w:before="312"/>
        <w:ind w:firstLine="482"/>
      </w:pPr>
      <w:bookmarkStart w:id="185" w:name="_Toc176025904"/>
      <w:r>
        <w:rPr>
          <w:rFonts w:hint="eastAsia"/>
        </w:rPr>
        <w:t>一、工程监理行业存在问题分析</w:t>
      </w:r>
      <w:bookmarkEnd w:id="185"/>
    </w:p>
    <w:p w14:paraId="248FE903">
      <w:pPr>
        <w:pStyle w:val="11"/>
        <w:spacing w:before="312"/>
        <w:ind w:firstLine="480"/>
      </w:pPr>
      <w:r>
        <w:rPr>
          <w:rFonts w:hint="eastAsia"/>
        </w:rPr>
        <w:t>1、工作人员专业素质不足</w:t>
      </w:r>
    </w:p>
    <w:p w14:paraId="3FEAE0EC">
      <w:pPr>
        <w:pStyle w:val="11"/>
        <w:spacing w:before="312"/>
        <w:ind w:firstLine="480"/>
      </w:pPr>
      <w:r>
        <w:rPr>
          <w:rFonts w:hint="eastAsia"/>
        </w:rPr>
        <w:t>建筑工程项目在施工过程中，为确保项目的安全性、质量性、效率性等，监理人员的职业素养在整体管理体系中占据较大位置。监理人员在工程中起到主体监督的作用，为此，在对专业化监理人员进行选择时，应从专业能力、管理能力、协调能力等进行多角度考核，以确保监理人员具备相应的工作能力。但现阶段我国建筑工程中，部分监理人员存在受贿的现象，在经济利益的驱使下，私下接收施工单位的礼品、钱财等，进而降低工程质量的检查基准，将监管工作变为形式化、表面化，增加整体建筑工程的安全风险。此外，部分监理人员未能认清自身工作的重要性，法律意识淡薄，在部分建筑环节无法起到决定性作用，进而影响整体建筑工程的进度。</w:t>
      </w:r>
    </w:p>
    <w:p w14:paraId="30C3867E">
      <w:pPr>
        <w:pStyle w:val="11"/>
        <w:spacing w:before="312"/>
        <w:ind w:firstLine="480"/>
      </w:pPr>
      <w:r>
        <w:rPr>
          <w:rFonts w:hint="eastAsia"/>
        </w:rPr>
        <w:t>2、缺乏安全意</w:t>
      </w:r>
    </w:p>
    <w:p w14:paraId="580B518F">
      <w:pPr>
        <w:pStyle w:val="11"/>
        <w:spacing w:before="312"/>
        <w:ind w:firstLine="480"/>
      </w:pPr>
      <w:r>
        <w:rPr>
          <w:rFonts w:hint="eastAsia"/>
        </w:rPr>
        <w:t>“安全第一”是建筑项目工程中的第一基准，其对建筑工程质量、建筑工程进度、工作人员人身安全等都具有重大意义。此外，建筑工程项目在施工过程中，受建筑体制、地区环境、人员心态等影响，整体工程不可预见性事件发生的几率较大，为工程施工的安全管理提出较高需求。但在实际施工过程中，部分建筑企业未能针对风险来进行相应的规章制度，且未能对基层施工人员普及安全教育，进而造成施工人员未按照相应的规章制度来执行具体工作，加大建筑工程的安全风险。部分建筑企业只注重建筑过程中产生的经济利益，忽略施工安全的主体地位，进而削减监理管理的实际功能，令工作人员的安全无法得到有效保障。</w:t>
      </w:r>
    </w:p>
    <w:p w14:paraId="4544C738">
      <w:pPr>
        <w:pStyle w:val="11"/>
        <w:spacing w:before="312"/>
        <w:ind w:firstLine="480"/>
      </w:pPr>
      <w:r>
        <w:rPr>
          <w:rFonts w:hint="eastAsia"/>
        </w:rPr>
        <w:t>3、监管体系存在缺陷</w:t>
      </w:r>
    </w:p>
    <w:p w14:paraId="7A9B9B3D">
      <w:pPr>
        <w:pStyle w:val="11"/>
        <w:spacing w:before="312"/>
        <w:ind w:firstLine="480"/>
      </w:pPr>
      <w:r>
        <w:rPr>
          <w:rFonts w:hint="eastAsia"/>
        </w:rPr>
        <w:t>现阶段，我国建筑行业监管体系仍沿用传统的监管模式，从经济发展形势的角度来分析，部分监管内容俨然无法满足当前的建筑需求。部分管理环节的缺失，将为工作人员的违法工作行为提供平台，进而令建筑工程无法得到质量保证。此外，建筑项目中涉及到领域较广，监理工作的监管条例无法做到细化管理，且缺乏相应奖励机制，进而降低监管人员的工作热情，同时也催生出受贿现象，增加项目工程的安全风险。</w:t>
      </w:r>
    </w:p>
    <w:p w14:paraId="3E9F6294">
      <w:pPr>
        <w:pStyle w:val="11"/>
        <w:spacing w:before="312"/>
        <w:ind w:firstLine="480"/>
      </w:pPr>
      <w:r>
        <w:rPr>
          <w:rFonts w:hint="eastAsia"/>
        </w:rPr>
        <w:t>4、专业技术水平较低</w:t>
      </w:r>
    </w:p>
    <w:p w14:paraId="0395A581">
      <w:pPr>
        <w:pStyle w:val="11"/>
        <w:spacing w:before="312"/>
        <w:ind w:firstLine="480"/>
      </w:pPr>
      <w:r>
        <w:rPr>
          <w:rFonts w:hint="eastAsia"/>
        </w:rPr>
        <w:t>对于监理人员来讲，其在上岗过程中需接受施工单位的考核，确保各项工作能力达到建筑企业的用人需求。但在现实工作中，由于监管人员的审核难度较大、涉及面较广等原因，部分施工单位为减轻自身的工作压力，往往只对监理人员的证件进行检查。当监理人员的专业能力与证件基准不符时，将产生监管力度不足、监管形式过于表面化等效果，进而对工程的建筑施工造成不利影响。</w:t>
      </w:r>
    </w:p>
    <w:p w14:paraId="1EFB0242">
      <w:pPr>
        <w:pStyle w:val="4"/>
        <w:spacing w:before="312"/>
        <w:ind w:firstLine="482"/>
      </w:pPr>
      <w:bookmarkStart w:id="186" w:name="_Toc176025905"/>
      <w:r>
        <w:rPr>
          <w:rFonts w:hint="eastAsia"/>
        </w:rPr>
        <w:t>二、工程监理行业发展对策建议</w:t>
      </w:r>
      <w:bookmarkEnd w:id="186"/>
    </w:p>
    <w:p w14:paraId="1E9260E4">
      <w:pPr>
        <w:pStyle w:val="11"/>
        <w:spacing w:before="312"/>
        <w:ind w:firstLine="480"/>
      </w:pPr>
      <w:r>
        <w:rPr>
          <w:rFonts w:hint="eastAsia"/>
        </w:rPr>
        <w:t>1、提高工作人员的管理能力</w:t>
      </w:r>
    </w:p>
    <w:p w14:paraId="709BC62B">
      <w:pPr>
        <w:pStyle w:val="11"/>
        <w:spacing w:before="312"/>
        <w:ind w:firstLine="480"/>
      </w:pPr>
      <w:r>
        <w:rPr>
          <w:rFonts w:hint="eastAsia"/>
        </w:rPr>
        <w:t>为提升监理人员的专业能力，应依据建筑项目工程中产生的问题进行研究，并将问题的解决方案与专业知识相融合，以此来对监理人员进行融合型培训，锻炼监理人员独立解决问题的能力。通过专业技能、职业素养等方面的培训，可令监理人员充分意识到自身工作的重要性，并及时认清自身在工作过程中存在的不足之处，只有通过思想意识的转变才可令工作性质达到本质上的提升，进而完善监理人员的安全意识。在对监理人员进行技能培训时，主要是以施工流程、建筑设备、安全知识等方面为主，以此来提升建构完整的项目监管体系，为监理人员建立相应的监管基准。此外，与其他发达国家相比，我国现阶段建筑行业的监管机制处于落后阶段，为避免监管体制改革对建筑企业造成的负面影响，应采取循序渐进的方式来逐步进行体制改革，以此来提升监管人员的职业素养。</w:t>
      </w:r>
    </w:p>
    <w:p w14:paraId="230E5A6E">
      <w:pPr>
        <w:pStyle w:val="11"/>
        <w:spacing w:before="312"/>
        <w:ind w:firstLine="480"/>
      </w:pPr>
      <w:r>
        <w:rPr>
          <w:rFonts w:hint="eastAsia"/>
        </w:rPr>
        <w:t>2、强化安全监理力度</w:t>
      </w:r>
    </w:p>
    <w:p w14:paraId="78AFFCB5">
      <w:pPr>
        <w:pStyle w:val="11"/>
        <w:spacing w:before="312"/>
        <w:ind w:firstLine="480"/>
      </w:pPr>
      <w:r>
        <w:rPr>
          <w:rFonts w:hint="eastAsia"/>
        </w:rPr>
        <w:t>建筑工程的建设与投入使用过程中，服务主体对象是居民，为保证建筑物内居民的财产及人身安全不受到损害，应加强各项建筑环节的监督力度。在建筑监理过程中，应严格按照国家政策制度来实施，并和施工单位签订相应的协议，为工程项目的实施提供安全保障。在对建筑材料进行监控时，监理人员应对材料的采办、运输、使用等进行严格监督，并对材料具体应用情况进行全过程监督，以此来为建筑工程质量提供基础保障。同时监管部门应正确划分职责，确保每一项目工程都具备专业的监理人员，且应加强监理人员的工作意识，对每一建筑环节的质量与建筑特性进行严格管控，当发现问题时，应迅速进行处理，以避免建筑停工的现象发生。此外，监理人员应与各施工单位保持联系，当建筑工程进度发生变化时，监理人员应依据各部门的工作情况来及时制定建筑计划，以确保建筑项目工程的顺利实施。</w:t>
      </w:r>
    </w:p>
    <w:p w14:paraId="127EA84A">
      <w:pPr>
        <w:pStyle w:val="11"/>
        <w:spacing w:before="312"/>
        <w:ind w:firstLine="480"/>
      </w:pPr>
      <w:r>
        <w:rPr>
          <w:rFonts w:hint="eastAsia"/>
        </w:rPr>
        <w:t>3、完善监管体系</w:t>
      </w:r>
    </w:p>
    <w:p w14:paraId="200ACE2A">
      <w:pPr>
        <w:pStyle w:val="11"/>
        <w:spacing w:before="312"/>
        <w:ind w:firstLine="480"/>
      </w:pPr>
      <w:r>
        <w:rPr>
          <w:rFonts w:hint="eastAsia"/>
        </w:rPr>
        <w:t>在建筑项目工程施工前期，监理单位应与建筑单位进行文件交接，监理单位指派专业工作人员来对图纸文件进行研究，将其中存在的漏洞以及安全隐患问题进行记录，并与项目部进行商讨，此类问题应将安全理念贯穿到整体解读中，并结合施工基准，来制定出解决方案。与此同时，专业人员还应对建筑工程的设备进行检查，查验其是否满足实际施工基准，以避免出现因设备质量问题而延缓整体建筑项目进度。在实际施工过程中，监理人员应加强建筑细节的监管，并按照图纸文件对整体工程进行巡检，如发生建筑环节与图纸文件不符合的地方，应及时工作人员的施工，并通知相关部门进行整改，如问题影响范围较广，则勒令整体项目停工，将问题进行针对型处理。此外，监理人员应严格按照国家基准来执行工作，避免出现懈怠、庇护的工作行为，以此来为建筑工程质量提供保障。</w:t>
      </w:r>
    </w:p>
    <w:p w14:paraId="5993EC56">
      <w:pPr>
        <w:pStyle w:val="11"/>
        <w:spacing w:before="312"/>
        <w:ind w:firstLine="480"/>
      </w:pPr>
      <w:r>
        <w:rPr>
          <w:rFonts w:hint="eastAsia"/>
        </w:rPr>
        <w:t>4、加强技术与材料的管理</w:t>
      </w:r>
    </w:p>
    <w:p w14:paraId="1ADE793C">
      <w:pPr>
        <w:pStyle w:val="11"/>
        <w:spacing w:before="312"/>
        <w:ind w:firstLine="480"/>
      </w:pPr>
      <w:r>
        <w:rPr>
          <w:rFonts w:hint="eastAsia"/>
        </w:rPr>
        <w:t>建筑项目施工中，由于施工人员、建筑工艺的影响，往往会出现固定隐患，造成项目工程存在不完整性。为最大限度的减少建筑风险，监理人员应对建筑工程体系进行深度了解，并依据图纸文件对建筑工艺具体施工产生的关联影响进行分析，以确保每项建筑环节可满足基准，如监理人员发现安全隐患时，应及时与施工方、项目方进行确认，并及时解决问题。此外，在对建筑材料进行检测时，应从外观、特性、数据参数等进行多角度查看，保证材料尺寸的衔接误差在可控范围内。此外，监理工作人员应掌握材料在建筑环节的应用模式，并加强材料的监管力度，进而来提升材料的利用率，以此来降低建筑成本，提升整体工作效率。</w:t>
      </w:r>
    </w:p>
    <w:p w14:paraId="63DDAC0A">
      <w:pPr>
        <w:pStyle w:val="3"/>
        <w:spacing w:before="312"/>
      </w:pPr>
      <w:bookmarkStart w:id="187" w:name="_Toc27755407"/>
      <w:bookmarkStart w:id="188" w:name="_Toc66779109"/>
      <w:bookmarkStart w:id="189" w:name="_Toc176025906"/>
      <w:bookmarkStart w:id="190" w:name="_Toc77163501"/>
      <w:bookmarkStart w:id="191" w:name="_Toc43305003"/>
      <w:bookmarkStart w:id="192" w:name="_Toc106799725"/>
      <w:r>
        <w:rPr>
          <w:rFonts w:hint="eastAsia"/>
        </w:rPr>
        <w:t>第六节</w:t>
      </w:r>
      <w:r>
        <w:t xml:space="preserve"> </w:t>
      </w:r>
      <w:r>
        <w:rPr>
          <w:rFonts w:hint="eastAsia"/>
        </w:rPr>
        <w:t>工程监理与全过程工程咨询分析</w:t>
      </w:r>
      <w:bookmarkEnd w:id="187"/>
      <w:bookmarkEnd w:id="188"/>
      <w:bookmarkEnd w:id="189"/>
      <w:bookmarkEnd w:id="190"/>
      <w:bookmarkEnd w:id="191"/>
      <w:bookmarkEnd w:id="192"/>
    </w:p>
    <w:p w14:paraId="4A1DF325">
      <w:pPr>
        <w:pStyle w:val="4"/>
        <w:spacing w:before="312"/>
        <w:ind w:firstLine="482"/>
      </w:pPr>
      <w:bookmarkStart w:id="193" w:name="_Toc77163502"/>
      <w:bookmarkStart w:id="194" w:name="_Toc66779110"/>
      <w:bookmarkStart w:id="195" w:name="_Toc106799726"/>
      <w:bookmarkStart w:id="196" w:name="_Toc43305004"/>
      <w:bookmarkStart w:id="197" w:name="_Toc176025907"/>
      <w:bookmarkStart w:id="198" w:name="_Toc27755408"/>
      <w:r>
        <w:rPr>
          <w:rFonts w:hint="eastAsia"/>
        </w:rPr>
        <w:t>一、工程监理企业开展全过程工程咨询相关政策</w:t>
      </w:r>
      <w:bookmarkEnd w:id="193"/>
      <w:bookmarkEnd w:id="194"/>
      <w:bookmarkEnd w:id="195"/>
      <w:bookmarkEnd w:id="196"/>
      <w:bookmarkEnd w:id="197"/>
      <w:bookmarkEnd w:id="198"/>
    </w:p>
    <w:p w14:paraId="7A05A16A">
      <w:pPr>
        <w:pStyle w:val="11"/>
        <w:spacing w:before="312"/>
        <w:ind w:firstLine="480"/>
      </w:pPr>
      <w:r>
        <w:t>1</w:t>
      </w:r>
      <w:r>
        <w:rPr>
          <w:rFonts w:hint="eastAsia"/>
        </w:rPr>
        <w:t>、国务院及国家建设行政主管部门的有关指导意见</w:t>
      </w:r>
    </w:p>
    <w:p w14:paraId="450E4A95">
      <w:pPr>
        <w:pStyle w:val="11"/>
        <w:spacing w:before="312"/>
        <w:ind w:firstLine="480"/>
      </w:pPr>
      <w:r>
        <w:rPr>
          <w:rFonts w:hint="eastAsia"/>
        </w:rPr>
        <w:t>比较早的明确监理企业可以不仅限于施工阶段的工程监理，还可以承担工程项目管理服务的行业性指导意见是在住建部《关于推进建筑业发展和改革的若干意见》（建市〔</w:t>
      </w:r>
      <w:r>
        <w:t>2014</w:t>
      </w:r>
      <w:r>
        <w:rPr>
          <w:rFonts w:hint="eastAsia"/>
        </w:rPr>
        <w:t>〕</w:t>
      </w:r>
      <w:r>
        <w:t>92</w:t>
      </w:r>
      <w:r>
        <w:rPr>
          <w:rFonts w:hint="eastAsia"/>
        </w:rPr>
        <w:t>号）文中提出的，其中在“二、建立统一开放的建筑市场体系”中明确</w:t>
      </w:r>
      <w:r>
        <w:t>:</w:t>
      </w:r>
      <w:r>
        <w:rPr>
          <w:rFonts w:hint="eastAsia"/>
        </w:rPr>
        <w:t>“（七）进一步完善工程监理制度。分类指导不同投资类型工程项目监理服务模式发展。调整强制监理工程范围，选择部分地区开展试点，研究制定有能力的建设单位自主决策选择监理或其它管理模式的政策措施。具有监理资质的工程咨询服务机构开展项目管理的工程项目，可不再委托监理。推动一批有能力的监理企业做优、做强。</w:t>
      </w:r>
    </w:p>
    <w:p w14:paraId="504FFF55">
      <w:pPr>
        <w:pStyle w:val="11"/>
        <w:spacing w:before="312"/>
        <w:ind w:firstLine="480"/>
      </w:pPr>
      <w:r>
        <w:rPr>
          <w:rFonts w:hint="eastAsia"/>
        </w:rPr>
        <w:t>后续住建部在《关于进一步推进工程监理行业改革发展的指导意见》（征求意见稿）（建市监〔</w:t>
      </w:r>
      <w:r>
        <w:t>2016</w:t>
      </w:r>
      <w:r>
        <w:rPr>
          <w:rFonts w:hint="eastAsia"/>
        </w:rPr>
        <w:t>〕</w:t>
      </w:r>
      <w:r>
        <w:t>26</w:t>
      </w:r>
      <w:r>
        <w:rPr>
          <w:rFonts w:hint="eastAsia"/>
        </w:rPr>
        <w:t>号）中，对“全过程”的概念进行了进一步的明晰，其中在“（二）提升监理服务多元化水平”中明确</w:t>
      </w:r>
      <w:r>
        <w:t>:</w:t>
      </w:r>
      <w:r>
        <w:rPr>
          <w:rFonts w:hint="eastAsia"/>
        </w:rPr>
        <w:t>“鼓励监理企业在立足施工阶段监理的基础上，向‘上、下游’拓展服务领域，提供项目咨询、招标代理、造价咨询、项目管理、市场监督等多元化的‘菜单式’咨询服务。推动有条件的监理企业积极开展全过程项目管理服务，探索政府和社会资本合作（</w:t>
      </w:r>
      <w:r>
        <w:t>PPP</w:t>
      </w:r>
      <w:r>
        <w:rPr>
          <w:rFonts w:hint="eastAsia"/>
        </w:rPr>
        <w:t>）等新兴融资方式下的咨询服务内容、模式。”</w:t>
      </w:r>
    </w:p>
    <w:p w14:paraId="28034B7A">
      <w:pPr>
        <w:pStyle w:val="11"/>
        <w:spacing w:before="312"/>
        <w:ind w:firstLine="480"/>
      </w:pPr>
      <w:r>
        <w:rPr>
          <w:rFonts w:hint="eastAsia"/>
        </w:rPr>
        <w:t>国务院从建筑业持续、长远发展的角度出发，对促进和深化建筑业供给侧结构性改革提出了更加具体的指导意见。对有关监理企业的改革和发展、如何组织和实施全过程工程咨询服务，也给出了比较清晰的“线路图”。国务院办公厅《关于促进建筑业持续健康发展的意见》（国办发〔</w:t>
      </w:r>
      <w:r>
        <w:t>2017</w:t>
      </w:r>
      <w:r>
        <w:rPr>
          <w:rFonts w:hint="eastAsia"/>
        </w:rPr>
        <w:t>〕</w:t>
      </w:r>
      <w:r>
        <w:t>19</w:t>
      </w:r>
      <w:r>
        <w:rPr>
          <w:rFonts w:hint="eastAsia"/>
        </w:rPr>
        <w:t>号）文中“三、完善工程建设组织模式”中明确</w:t>
      </w:r>
      <w:r>
        <w:t>:</w:t>
      </w:r>
      <w:r>
        <w:rPr>
          <w:rFonts w:hint="eastAsia"/>
        </w:rPr>
        <w:t>“（四）培育全过程工程咨询。鼓励投资咨询、勘察、设计、监理、招标代理、造价等企业采取联合经营、并购重组等方式发展全过程工程咨询，培育一批具有国际水平的全过程工程咨询企业。制定全过程工程咨询服务技术标准和合同范本。政府投资工程应带头推行全过程工程咨询，鼓励非政府投资工程委托全过程工程咨询服务。在民用建筑项目中，充分发挥建筑师的主导作用，鼓励提供全过程工程咨询服务。”</w:t>
      </w:r>
    </w:p>
    <w:p w14:paraId="21735ADE">
      <w:pPr>
        <w:pStyle w:val="11"/>
        <w:spacing w:before="312"/>
        <w:ind w:firstLine="480"/>
      </w:pPr>
      <w:r>
        <w:rPr>
          <w:rFonts w:hint="eastAsia"/>
        </w:rPr>
        <w:t>上述几个主要文件从国家层面对工程监理企业全过程工程咨询服务的开展，给出了较为清晰的指导意见，其主要精神是，国家不仅支持也在积极地推动工程监理行业的健康发展、不断地推进行业供给侧结构性改革，鼓励工程监理企业积极开展全过程工程咨询服务，其目的是确保工程监理行业的健康发展，确保建设工程的质量安全，逐步提高国家建设工程发展水平。</w:t>
      </w:r>
    </w:p>
    <w:p w14:paraId="6171BE6E">
      <w:pPr>
        <w:pStyle w:val="11"/>
        <w:spacing w:before="312"/>
        <w:ind w:firstLine="480"/>
      </w:pPr>
      <w:r>
        <w:t>2</w:t>
      </w:r>
      <w:r>
        <w:rPr>
          <w:rFonts w:hint="eastAsia"/>
        </w:rPr>
        <w:t>、地方政府的有关指导意见</w:t>
      </w:r>
    </w:p>
    <w:p w14:paraId="63A35C3F">
      <w:pPr>
        <w:pStyle w:val="11"/>
        <w:spacing w:before="312"/>
        <w:ind w:firstLine="480"/>
      </w:pPr>
      <w:r>
        <w:rPr>
          <w:rFonts w:hint="eastAsia"/>
        </w:rPr>
        <w:t>根据国家有关建筑领域改革发展的意见和精神，国内一些省、市等就如何推进建筑业改革发展制定了具体的指导意见。就工程监理行业的发展和改革，也提出了明确的意见，其主要还是围绕工程监理企业如何开展全过程工程咨询服务，以适应新的建筑市场环境和建筑业改革发展的形式来制定和实施的。</w:t>
      </w:r>
    </w:p>
    <w:p w14:paraId="0D16D85F">
      <w:pPr>
        <w:pStyle w:val="11"/>
        <w:spacing w:before="312"/>
        <w:ind w:firstLine="480"/>
      </w:pPr>
      <w:r>
        <w:rPr>
          <w:rFonts w:hint="eastAsia"/>
        </w:rPr>
        <w:t>（</w:t>
      </w:r>
      <w:r>
        <w:t>1</w:t>
      </w:r>
      <w:r>
        <w:rPr>
          <w:rFonts w:hint="eastAsia"/>
        </w:rPr>
        <w:t>）江苏省住房和城乡建设厅指导意见</w:t>
      </w:r>
    </w:p>
    <w:p w14:paraId="4077752D">
      <w:pPr>
        <w:pStyle w:val="11"/>
        <w:spacing w:before="312"/>
        <w:ind w:firstLine="480"/>
      </w:pPr>
      <w:r>
        <w:rPr>
          <w:rFonts w:hint="eastAsia"/>
        </w:rPr>
        <w:t>江苏省住房和城乡建设厅在《推进工程建设全过程项目管理咨询服务的指导意见》（苏建建管〔</w:t>
      </w:r>
      <w:r>
        <w:t>2016</w:t>
      </w:r>
      <w:r>
        <w:rPr>
          <w:rFonts w:hint="eastAsia"/>
        </w:rPr>
        <w:t>〕</w:t>
      </w:r>
      <w:r>
        <w:t>730</w:t>
      </w:r>
      <w:r>
        <w:rPr>
          <w:rFonts w:hint="eastAsia"/>
        </w:rPr>
        <w:t>号）中提出：</w:t>
      </w:r>
    </w:p>
    <w:p w14:paraId="41D70FD2">
      <w:pPr>
        <w:pStyle w:val="11"/>
        <w:spacing w:before="312"/>
        <w:ind w:firstLine="480"/>
      </w:pPr>
      <w:r>
        <w:rPr>
          <w:rFonts w:hint="eastAsia"/>
        </w:rPr>
        <w:t>“全过程工程项目管理咨询服务是指从事工程项目管理咨询服务的企业，受建设单位委托，在建设单位授权范围内对工程建设全过程进行的专业化管理咨询服务活动。</w:t>
      </w:r>
    </w:p>
    <w:p w14:paraId="7286C846">
      <w:pPr>
        <w:pStyle w:val="11"/>
        <w:spacing w:before="312"/>
        <w:ind w:firstLine="480"/>
      </w:pPr>
      <w:r>
        <w:rPr>
          <w:rFonts w:hint="eastAsia"/>
        </w:rPr>
        <w:t>……</w:t>
      </w:r>
    </w:p>
    <w:p w14:paraId="37BE0F3B">
      <w:pPr>
        <w:pStyle w:val="11"/>
        <w:spacing w:before="312"/>
        <w:ind w:firstLine="480"/>
      </w:pPr>
      <w:r>
        <w:rPr>
          <w:rFonts w:hint="eastAsia"/>
        </w:rPr>
        <w:t>工作目标。全面整合工程建设过程中</w:t>
      </w:r>
    </w:p>
    <w:p w14:paraId="115B1032">
      <w:pPr>
        <w:pStyle w:val="11"/>
        <w:spacing w:before="312"/>
        <w:ind w:firstLine="480"/>
      </w:pPr>
      <w:r>
        <w:rPr>
          <w:rFonts w:hint="eastAsia"/>
        </w:rPr>
        <w:t>所需的前期咨询、招标代理、造价咨询、工程监理及其他相关服务等咨询服务业务，引导建设单位将全过程的项目管理咨询服务委托给一家企业，为项目建设提供涵盖前期策划咨询、施工前准备、施工过程、竣工验收、运营保修等各阶段的全过程工程项目管理咨询服务。</w:t>
      </w:r>
    </w:p>
    <w:p w14:paraId="6D8905C2">
      <w:pPr>
        <w:pStyle w:val="11"/>
        <w:spacing w:before="312"/>
        <w:ind w:firstLine="480"/>
      </w:pPr>
      <w:r>
        <w:rPr>
          <w:rFonts w:hint="eastAsia"/>
        </w:rPr>
        <w:t>加强政府引导。鼓励在江苏省内依法必须实行监理的工程建设项目采用全过程项目管理咨询服务的方式。对于国有资金占控股或者主导地位的工程建设项目，提倡采用全过程项目管理咨询服务的方式进行工程管理服务。明确对于选择具有相应工程监理资质的企业开展项目管理服务的工程，可不再另行委托监理单位。创新招标方式。建设单位可在项目立项后委托项目管理咨询企业开展全过程项目管理咨询服务。依法必须招标的工程建设项目，在项目立项后即可进行招投标择优选择全过程项目管理咨询企业。</w:t>
      </w:r>
    </w:p>
    <w:p w14:paraId="3CAEDB23">
      <w:pPr>
        <w:pStyle w:val="11"/>
        <w:spacing w:before="312"/>
        <w:ind w:firstLine="480"/>
      </w:pPr>
      <w:r>
        <w:rPr>
          <w:rFonts w:hint="eastAsia"/>
        </w:rPr>
        <w:t>明确从业要求。开展全过程项目管理咨询服务的企业应具备与所承担工程规模相符的工程监理资质，以及相应的前期咨询、招标代理、造价咨询一项或多项资质。……”</w:t>
      </w:r>
    </w:p>
    <w:p w14:paraId="1B19AAB4">
      <w:pPr>
        <w:pStyle w:val="11"/>
        <w:spacing w:before="312"/>
        <w:ind w:firstLine="480"/>
      </w:pPr>
      <w:r>
        <w:rPr>
          <w:rFonts w:hint="eastAsia"/>
        </w:rPr>
        <w:t>（</w:t>
      </w:r>
      <w:r>
        <w:t>2</w:t>
      </w:r>
      <w:r>
        <w:rPr>
          <w:rFonts w:hint="eastAsia"/>
        </w:rPr>
        <w:t>）上海市住房和城乡建设管理委员会指导意见</w:t>
      </w:r>
    </w:p>
    <w:p w14:paraId="42B67ED4">
      <w:pPr>
        <w:pStyle w:val="11"/>
        <w:spacing w:before="312"/>
        <w:ind w:firstLine="480"/>
      </w:pPr>
      <w:r>
        <w:rPr>
          <w:rFonts w:hint="eastAsia"/>
        </w:rPr>
        <w:t>上海市住房和城乡建设管理委员会在《关于进一步加强本市建设工程项目管理服务的通知》（沪建建管〔</w:t>
      </w:r>
      <w:r>
        <w:t>2017</w:t>
      </w:r>
      <w:r>
        <w:rPr>
          <w:rFonts w:hint="eastAsia"/>
        </w:rPr>
        <w:t>〕</w:t>
      </w:r>
      <w:r>
        <w:t>125</w:t>
      </w:r>
      <w:r>
        <w:rPr>
          <w:rFonts w:hint="eastAsia"/>
        </w:rPr>
        <w:t>号）中提出</w:t>
      </w:r>
      <w:r>
        <w:t>:</w:t>
      </w:r>
    </w:p>
    <w:p w14:paraId="6E2C50C5">
      <w:pPr>
        <w:pStyle w:val="11"/>
        <w:spacing w:before="312"/>
        <w:ind w:firstLine="480"/>
      </w:pPr>
      <w:r>
        <w:rPr>
          <w:rFonts w:hint="eastAsia"/>
        </w:rPr>
        <w:t>“六、建设单位应依法通过招标发包（包含招标方式的政府采购）或直接发包（包含非招标方式的政府采购）的方式选择项目管理单位。具有相应工程监理资质的单位，依法通过招标方式取得工程项目管理服务（至少包含施工阶段项目管理服务）的，经建设单位同意，可在其资质许可范围内承接同一工程的监理工作</w:t>
      </w:r>
      <w:r>
        <w:t>;</w:t>
      </w:r>
      <w:r>
        <w:rPr>
          <w:rFonts w:hint="eastAsia"/>
        </w:rPr>
        <w:t>……</w:t>
      </w:r>
    </w:p>
    <w:p w14:paraId="352399E4">
      <w:pPr>
        <w:pStyle w:val="11"/>
        <w:spacing w:before="312"/>
        <w:ind w:firstLine="480"/>
      </w:pPr>
      <w:r>
        <w:rPr>
          <w:rFonts w:hint="eastAsia"/>
        </w:rPr>
        <w:t>八、工程项目管理全过程包括项目前期策划、项目设计、施工前准备、施工、竣工验收和保修等六个阶段。建设单位可根据项目需要，委托项目管理单位实施全过程或若干阶段的项目管理服务，具体要求在双方合同中约定。</w:t>
      </w:r>
    </w:p>
    <w:p w14:paraId="31D39147">
      <w:pPr>
        <w:pStyle w:val="11"/>
        <w:spacing w:before="312"/>
        <w:ind w:firstLine="480"/>
      </w:pPr>
      <w:r>
        <w:rPr>
          <w:rFonts w:hint="eastAsia"/>
        </w:rPr>
        <w:t>上海市将逐步推进政府投资的建设工程委托项目管理单位实行全过程管理。……”</w:t>
      </w:r>
    </w:p>
    <w:p w14:paraId="1C791548">
      <w:pPr>
        <w:pStyle w:val="11"/>
        <w:spacing w:before="312"/>
        <w:ind w:firstLine="480"/>
      </w:pPr>
      <w:r>
        <w:t>3</w:t>
      </w:r>
      <w:r>
        <w:rPr>
          <w:rFonts w:hint="eastAsia"/>
        </w:rPr>
        <w:t>、行业协会的有关建议</w:t>
      </w:r>
    </w:p>
    <w:p w14:paraId="6C321F61">
      <w:pPr>
        <w:pStyle w:val="11"/>
        <w:spacing w:before="312"/>
        <w:ind w:firstLine="480"/>
      </w:pPr>
      <w:r>
        <w:rPr>
          <w:rFonts w:hint="eastAsia"/>
        </w:rPr>
        <w:t>中国建设监理协会作为我国工程监理企业全国性行业协会，在工程监理企业的发展和改革方面做了许多卓有成效的调查、研究工作，提出了许多结合我国国情、国际惯例、实践，又贴近国际工程咨询服务业发展潮流的意见和建议，有些已经作为国家政府主管部门的意见和要求付诸实践。关于工程监理企业全过程工程咨询服务，协会也有针对性地进行了调查和研究，提出了意见和建议，这些为有关部门就如何试行和推进工程监理行业的改革和发展，提高工程监理服务水平，保证工程质量与安全，制定相应的政策和指导意见提供了帮助。</w:t>
      </w:r>
    </w:p>
    <w:p w14:paraId="59EABD3B">
      <w:pPr>
        <w:pStyle w:val="11"/>
        <w:spacing w:before="312"/>
        <w:ind w:firstLine="480"/>
      </w:pPr>
      <w:r>
        <w:rPr>
          <w:rFonts w:hint="eastAsia"/>
        </w:rPr>
        <w:t>中国建设监理协会郭允冲会长在中国建设监理协会“应对工程监理服务价格市场化”交流会上（</w:t>
      </w:r>
      <w:r>
        <w:t>2016</w:t>
      </w:r>
      <w:r>
        <w:rPr>
          <w:rFonts w:hint="eastAsia"/>
        </w:rPr>
        <w:t>年</w:t>
      </w:r>
      <w:r>
        <w:t>11</w:t>
      </w:r>
      <w:r>
        <w:rPr>
          <w:rFonts w:hint="eastAsia"/>
        </w:rPr>
        <w:t>月</w:t>
      </w:r>
      <w:r>
        <w:t>23</w:t>
      </w:r>
      <w:r>
        <w:rPr>
          <w:rFonts w:hint="eastAsia"/>
        </w:rPr>
        <w:t>日江西·南昌），就全过程工程咨询服务进行了探讨，在其发言“二、关于推进全过程一体化项目管理问题”中提出：</w:t>
      </w:r>
    </w:p>
    <w:p w14:paraId="1D6A56FA">
      <w:pPr>
        <w:pStyle w:val="11"/>
        <w:spacing w:before="312"/>
        <w:ind w:firstLine="480"/>
      </w:pPr>
      <w:r>
        <w:rPr>
          <w:rFonts w:hint="eastAsia"/>
        </w:rPr>
        <w:t>“（三）大力推进全过程一体化项目管理……”</w:t>
      </w:r>
    </w:p>
    <w:p w14:paraId="139786CB">
      <w:pPr>
        <w:pStyle w:val="11"/>
        <w:spacing w:before="312"/>
        <w:ind w:firstLine="480"/>
      </w:pPr>
      <w:r>
        <w:rPr>
          <w:rFonts w:hint="eastAsia"/>
        </w:rPr>
        <w:t>全过程一体化项目管理企业的组织形式，也要坚持市场导向原则，可以根据建设单位的需要和企业技术力量的具体情况，由企业来确定。可以由监理与建设单位组成一个团队，也可以由监理与设计、施工组成一个团队，也可以和国外的国际著名工程咨询公司合作，也可以采取其他形式。</w:t>
      </w:r>
    </w:p>
    <w:p w14:paraId="371AE8A5">
      <w:pPr>
        <w:pStyle w:val="11"/>
        <w:spacing w:before="312"/>
        <w:ind w:firstLine="480"/>
      </w:pPr>
      <w:r>
        <w:rPr>
          <w:rFonts w:hint="eastAsia"/>
        </w:rPr>
        <w:t>……</w:t>
      </w:r>
    </w:p>
    <w:p w14:paraId="1E5BE60C">
      <w:pPr>
        <w:pStyle w:val="11"/>
        <w:spacing w:before="312"/>
        <w:ind w:firstLine="480"/>
      </w:pPr>
      <w:r>
        <w:rPr>
          <w:rFonts w:hint="eastAsia"/>
        </w:rPr>
        <w:t>监理、设计、施工等企业要顺应项目管理的发展趋势，有能力的企业，要积极主动培训、培养具有前期咨询、勘察、设计、施工、监理等综合管理素质的人才，逐步向全过程一体化项目管理方向发展，逐步提高以前有的综合实力，提高企业的市场适应能力，提高企业的竞争力，以赢得市场、建设单位的满意。”</w:t>
      </w:r>
    </w:p>
    <w:p w14:paraId="4695279C">
      <w:pPr>
        <w:pStyle w:val="11"/>
        <w:spacing w:before="312"/>
        <w:ind w:firstLine="480"/>
      </w:pPr>
      <w:r>
        <w:rPr>
          <w:rFonts w:hint="eastAsia"/>
        </w:rPr>
        <w:t>另外，中国建设监理协会修璐秘书长在其《十三五规划纲要与建设监理行业发展》中，就工程监理企业如何适应新的市场环境，深化和推进工程监理行业的改革和发展的探讨时，在“三、建设监理行业发展未来面临的主要任务”中提出：</w:t>
      </w:r>
    </w:p>
    <w:p w14:paraId="631D6FED">
      <w:pPr>
        <w:pStyle w:val="11"/>
        <w:spacing w:before="312"/>
        <w:ind w:firstLine="480"/>
      </w:pPr>
      <w:r>
        <w:rPr>
          <w:rFonts w:hint="eastAsia"/>
        </w:rPr>
        <w:t>“</w:t>
      </w:r>
      <w:r>
        <w:t>2</w:t>
      </w:r>
      <w:r>
        <w:rPr>
          <w:rFonts w:hint="eastAsia"/>
        </w:rPr>
        <w:t>）部分有能力的企业可以转型为提供建设</w:t>
      </w:r>
    </w:p>
    <w:p w14:paraId="7B5BB248">
      <w:pPr>
        <w:pStyle w:val="11"/>
        <w:spacing w:before="312"/>
        <w:ind w:firstLine="480"/>
      </w:pPr>
      <w:r>
        <w:rPr>
          <w:rFonts w:hint="eastAsia"/>
        </w:rPr>
        <w:t>工程项目管理服务的企业。有施工经验和管理资源条件的企业可以转型成为提供施工阶段项目管理的企业。有工程建设分阶段或全过程管理经验和资源的企业可以转型成为提供工程建设项目部分阶段管理或全过程管理总承包，开展一体化管理服务的企业。</w:t>
      </w:r>
    </w:p>
    <w:p w14:paraId="07D37689">
      <w:pPr>
        <w:pStyle w:val="11"/>
        <w:spacing w:before="312"/>
        <w:ind w:firstLine="480"/>
      </w:pPr>
      <w:r>
        <w:t>3</w:t>
      </w:r>
      <w:r>
        <w:rPr>
          <w:rFonts w:hint="eastAsia"/>
        </w:rPr>
        <w:t>）部分有能力的企业可以转型成为提供建设监理</w:t>
      </w:r>
      <w:r>
        <w:t>+</w:t>
      </w:r>
      <w:r>
        <w:rPr>
          <w:rFonts w:hint="eastAsia"/>
        </w:rPr>
        <w:t>咨询服务的企业。咨询服务可以包括提供设计、施工方案优化，或提供技术、管理、法律、经济、质量、安全等多方面的咨询服务。</w:t>
      </w:r>
    </w:p>
    <w:p w14:paraId="56771B58">
      <w:pPr>
        <w:pStyle w:val="11"/>
        <w:spacing w:before="312"/>
        <w:ind w:firstLine="480"/>
      </w:pPr>
      <w:r>
        <w:t>4</w:t>
      </w:r>
      <w:r>
        <w:rPr>
          <w:rFonts w:hint="eastAsia"/>
        </w:rPr>
        <w:t>）部分有能力的企业可以转型成为监理和项目管理联合体企业，提供建设监理</w:t>
      </w:r>
      <w:r>
        <w:t>+</w:t>
      </w:r>
      <w:r>
        <w:rPr>
          <w:rFonts w:hint="eastAsia"/>
        </w:rPr>
        <w:t>项目管理服务，为业主提供施工阶段项目管理和监理一体化服务。”</w:t>
      </w:r>
    </w:p>
    <w:p w14:paraId="3260D3F0">
      <w:pPr>
        <w:pStyle w:val="11"/>
        <w:spacing w:before="312"/>
        <w:ind w:firstLine="480"/>
      </w:pPr>
      <w:r>
        <w:t>4</w:t>
      </w:r>
      <w:r>
        <w:rPr>
          <w:rFonts w:hint="eastAsia"/>
        </w:rPr>
        <w:t>、主要指导文件的精神简析</w:t>
      </w:r>
    </w:p>
    <w:p w14:paraId="47AF7747">
      <w:pPr>
        <w:pStyle w:val="11"/>
        <w:spacing w:before="312"/>
        <w:ind w:firstLine="480"/>
      </w:pPr>
      <w:r>
        <w:rPr>
          <w:rFonts w:hint="eastAsia"/>
        </w:rPr>
        <w:t>梳理和分析上述有关工程监理企业全过程工程咨询服务的主要文件，可以得出</w:t>
      </w:r>
      <w:r>
        <w:t>:</w:t>
      </w:r>
    </w:p>
    <w:p w14:paraId="317FB782">
      <w:pPr>
        <w:pStyle w:val="11"/>
        <w:spacing w:before="312"/>
        <w:ind w:firstLine="480"/>
      </w:pPr>
      <w:r>
        <w:rPr>
          <w:rFonts w:hint="eastAsia"/>
        </w:rPr>
        <w:t>（</w:t>
      </w:r>
      <w:r>
        <w:t>1</w:t>
      </w:r>
      <w:r>
        <w:rPr>
          <w:rFonts w:hint="eastAsia"/>
        </w:rPr>
        <w:t>）工程监理企业开展全过程工程咨询服务是国家大力推动、适应国家建筑业改革发展需要的重要举措，是与国际工程咨询服务业发展潮流相一致的、能有效促进我国建筑业健康发展、提高建设工程发展水平的具体措施；</w:t>
      </w:r>
    </w:p>
    <w:p w14:paraId="0BAFD278">
      <w:pPr>
        <w:pStyle w:val="11"/>
        <w:spacing w:before="312"/>
        <w:ind w:firstLine="480"/>
      </w:pPr>
      <w:r>
        <w:rPr>
          <w:rFonts w:hint="eastAsia"/>
        </w:rPr>
        <w:t>（</w:t>
      </w:r>
      <w:r>
        <w:t>2</w:t>
      </w:r>
      <w:r>
        <w:rPr>
          <w:rFonts w:hint="eastAsia"/>
        </w:rPr>
        <w:t>）虽然有关全过程工程咨询服务的概念不甚明确，但其主要内容包括投资咨询、勘察、设计、监理、招标代理、造价等工程咨询服务。具体的服务范围可以由业主与监理企业协商自行确定。因此，若业主需要，工程项目管理也可以作为监理企业全过程咨询服务的内容之一；</w:t>
      </w:r>
    </w:p>
    <w:p w14:paraId="7329E9B5">
      <w:pPr>
        <w:pStyle w:val="11"/>
        <w:spacing w:before="312"/>
        <w:ind w:firstLine="480"/>
      </w:pPr>
      <w:r>
        <w:rPr>
          <w:rFonts w:hint="eastAsia"/>
        </w:rPr>
        <w:t>（</w:t>
      </w:r>
      <w:r>
        <w:t>3</w:t>
      </w:r>
      <w:r>
        <w:rPr>
          <w:rFonts w:hint="eastAsia"/>
        </w:rPr>
        <w:t>）工程监理企业承担全过程工程咨询服务，应依法依规进行招投标确定。工程监理企业承担某工程全过程工程咨询服务时，工程监理业务可不再另行招标委托。工程监理企业承担其他非工程监理业务时应具有相应专业的资质；</w:t>
      </w:r>
    </w:p>
    <w:p w14:paraId="29F7B3B9">
      <w:pPr>
        <w:pStyle w:val="11"/>
        <w:spacing w:before="312"/>
        <w:ind w:firstLine="480"/>
      </w:pPr>
      <w:r>
        <w:rPr>
          <w:rFonts w:hint="eastAsia"/>
        </w:rPr>
        <w:t>（</w:t>
      </w:r>
      <w:r>
        <w:t>4</w:t>
      </w:r>
      <w:r>
        <w:rPr>
          <w:rFonts w:hint="eastAsia"/>
        </w:rPr>
        <w:t>）工程监理企业等可以在不断增强自身业务能力的同时，通过联合经营、并购重组等方式，实现企业能力提高、业务范围的扩大和延伸，以寻求全过程工程咨询服务业务的突破和开展。</w:t>
      </w:r>
    </w:p>
    <w:p w14:paraId="1EB69A7F">
      <w:pPr>
        <w:pStyle w:val="4"/>
        <w:spacing w:before="312"/>
        <w:ind w:firstLine="482"/>
      </w:pPr>
      <w:bookmarkStart w:id="199" w:name="_Toc77163503"/>
      <w:bookmarkStart w:id="200" w:name="_Toc66779111"/>
      <w:bookmarkStart w:id="201" w:name="_Toc106799727"/>
      <w:bookmarkStart w:id="202" w:name="_Toc176025908"/>
      <w:bookmarkStart w:id="203" w:name="_Toc43305005"/>
      <w:bookmarkStart w:id="204" w:name="_Toc27755409"/>
      <w:r>
        <w:rPr>
          <w:rFonts w:hint="eastAsia"/>
        </w:rPr>
        <w:t>二、工程监理企业发展全过程工程咨询背景分析</w:t>
      </w:r>
      <w:bookmarkEnd w:id="199"/>
      <w:bookmarkEnd w:id="200"/>
      <w:bookmarkEnd w:id="201"/>
      <w:bookmarkEnd w:id="202"/>
      <w:bookmarkEnd w:id="203"/>
      <w:bookmarkEnd w:id="204"/>
    </w:p>
    <w:p w14:paraId="5E51CF41">
      <w:pPr>
        <w:pStyle w:val="11"/>
        <w:spacing w:before="312"/>
        <w:ind w:firstLine="480"/>
      </w:pPr>
      <w:r>
        <w:rPr>
          <w:rFonts w:hint="eastAsia"/>
        </w:rPr>
        <w:t>中华人民共和国住房和城乡建设部于</w:t>
      </w:r>
      <w:r>
        <w:t>2008</w:t>
      </w:r>
      <w:r>
        <w:rPr>
          <w:rFonts w:hint="eastAsia"/>
        </w:rPr>
        <w:t>年</w:t>
      </w:r>
      <w:r>
        <w:t>11</w:t>
      </w:r>
      <w:r>
        <w:rPr>
          <w:rFonts w:hint="eastAsia"/>
        </w:rPr>
        <w:t>月发文鼓励监理企业向工程项目管理全过程发展，这是我国对于住建方面最早明确监理单位可以不仅仅局限于施工阶段的工程监理服务，也是对于监理公司提供更加全面的咨询服务的指导性文件，开拓了监理企业未来的发展方向。</w:t>
      </w:r>
    </w:p>
    <w:p w14:paraId="0388D7A5">
      <w:pPr>
        <w:pStyle w:val="11"/>
        <w:spacing w:before="312"/>
        <w:ind w:firstLine="480"/>
      </w:pPr>
      <w:r>
        <w:t>2017</w:t>
      </w:r>
      <w:r>
        <w:rPr>
          <w:rFonts w:hint="eastAsia"/>
        </w:rPr>
        <w:t>年</w:t>
      </w:r>
      <w:r>
        <w:t>2</w:t>
      </w:r>
      <w:r>
        <w:rPr>
          <w:rFonts w:hint="eastAsia"/>
        </w:rPr>
        <w:t>月国务院办公厅发文明确指出培育全过程工程咨询，鼓励投资咨询、勘察、设计、招标代理、造价等企业采取联合经营、并购重组等方式发展全过程工程咨询。</w:t>
      </w:r>
      <w:r>
        <w:t>2017</w:t>
      </w:r>
      <w:r>
        <w:rPr>
          <w:rFonts w:hint="eastAsia"/>
        </w:rPr>
        <w:t>年</w:t>
      </w:r>
      <w:r>
        <w:t>5</w:t>
      </w:r>
      <w:r>
        <w:rPr>
          <w:rFonts w:hint="eastAsia"/>
        </w:rPr>
        <w:t>月住建部公布了</w:t>
      </w:r>
      <w:r>
        <w:t>40</w:t>
      </w:r>
      <w:r>
        <w:rPr>
          <w:rFonts w:hint="eastAsia"/>
        </w:rPr>
        <w:t>家全过程工程咨询试点企业名单，其中有</w:t>
      </w:r>
      <w:r>
        <w:t>16</w:t>
      </w:r>
      <w:r>
        <w:rPr>
          <w:rFonts w:hint="eastAsia"/>
        </w:rPr>
        <w:t>家为监理企业。这表明我国对于监理行业转型的重视与鼓励，同时也说明了监理行业转型发展全过程咨询服务具有极大地潜力。</w:t>
      </w:r>
      <w:r>
        <w:t>2017</w:t>
      </w:r>
      <w:r>
        <w:rPr>
          <w:rFonts w:hint="eastAsia"/>
        </w:rPr>
        <w:t>年</w:t>
      </w:r>
      <w:r>
        <w:t>7</w:t>
      </w:r>
      <w:r>
        <w:rPr>
          <w:rFonts w:hint="eastAsia"/>
        </w:rPr>
        <w:t>月住建部发文进一步对监理单位发展全过程工程咨询服务给出指导意见。文件明确指出监理企业可在原本业务的基础上“向上向下”拓展服务领域，提供造价咨询、招标代理、项目咨询等多元咨询服务。</w:t>
      </w:r>
    </w:p>
    <w:p w14:paraId="33C57F0D">
      <w:pPr>
        <w:pStyle w:val="11"/>
        <w:spacing w:before="312"/>
        <w:ind w:firstLine="480"/>
      </w:pPr>
      <w:r>
        <w:rPr>
          <w:rFonts w:hint="eastAsia"/>
        </w:rPr>
        <w:t>以上我国发布的文件均从各个层面对监理企业发展全过程工程咨询服务提供了明确的指导意见，推动监理企业健康持续发展，鼓励监理企业发展全过程工程咨询服务，为企业转型发展提供政策上的支持。</w:t>
      </w:r>
    </w:p>
    <w:p w14:paraId="3AA7F2B6">
      <w:pPr>
        <w:pStyle w:val="4"/>
        <w:spacing w:before="312"/>
        <w:ind w:firstLine="482"/>
      </w:pPr>
      <w:bookmarkStart w:id="205" w:name="_Toc77163504"/>
      <w:bookmarkStart w:id="206" w:name="_Toc66779112"/>
      <w:bookmarkStart w:id="207" w:name="_Toc43305006"/>
      <w:bookmarkStart w:id="208" w:name="_Toc27755410"/>
      <w:bookmarkStart w:id="209" w:name="_Toc176025909"/>
      <w:bookmarkStart w:id="210" w:name="_Toc106799728"/>
      <w:r>
        <w:rPr>
          <w:rFonts w:hint="eastAsia"/>
        </w:rPr>
        <w:t>三、工程监理企业发展全过程工程咨询的必要性</w:t>
      </w:r>
      <w:bookmarkEnd w:id="205"/>
      <w:bookmarkEnd w:id="206"/>
      <w:bookmarkEnd w:id="207"/>
      <w:bookmarkEnd w:id="208"/>
      <w:bookmarkEnd w:id="209"/>
      <w:bookmarkEnd w:id="210"/>
    </w:p>
    <w:p w14:paraId="5816F38D">
      <w:pPr>
        <w:pStyle w:val="11"/>
        <w:spacing w:before="312"/>
        <w:ind w:firstLine="480"/>
      </w:pPr>
      <w:r>
        <w:t>1</w:t>
      </w:r>
      <w:r>
        <w:rPr>
          <w:rFonts w:hint="eastAsia"/>
        </w:rPr>
        <w:t>、监理企业发展的内在需求</w:t>
      </w:r>
    </w:p>
    <w:p w14:paraId="038A5459">
      <w:pPr>
        <w:pStyle w:val="11"/>
        <w:spacing w:before="312"/>
        <w:ind w:firstLine="480"/>
      </w:pPr>
      <w:r>
        <w:rPr>
          <w:rFonts w:hint="eastAsia"/>
        </w:rPr>
        <w:t>当前，监理企业的业务仅是施工阶段的工程监理，监理市场竞争日益激烈，建筑行业的业务减少，国家重点投资的改变也加剧了建筑业的生存难度。</w:t>
      </w:r>
    </w:p>
    <w:p w14:paraId="6CD291ED">
      <w:pPr>
        <w:pStyle w:val="11"/>
        <w:spacing w:before="312"/>
        <w:ind w:firstLine="480"/>
      </w:pPr>
      <w:r>
        <w:t>2</w:t>
      </w:r>
      <w:r>
        <w:rPr>
          <w:rFonts w:hint="eastAsia"/>
        </w:rPr>
        <w:t>、监理行业发展的必然趋势</w:t>
      </w:r>
    </w:p>
    <w:p w14:paraId="653528C2">
      <w:pPr>
        <w:pStyle w:val="11"/>
        <w:spacing w:before="312"/>
        <w:ind w:firstLine="480"/>
      </w:pPr>
      <w:r>
        <w:rPr>
          <w:rFonts w:hint="eastAsia"/>
        </w:rPr>
        <w:t>工程监理业务的单一化已成为限制该行业发展的重要因素，目前监理行业制度日趋完善，行业仅在监理业务方面的上升空间基本达到饱和。监理作为工程建设五大主体之一</w:t>
      </w:r>
      <w:r>
        <w:t>,</w:t>
      </w:r>
      <w:r>
        <w:rPr>
          <w:rFonts w:hint="eastAsia"/>
        </w:rPr>
        <w:t>其作用是为业主服务，而随着建筑业的发展，业主需要更加系统、更多元的咨询服务，以减少自身的工作量。为更好的满足业主的需求及适应行业发展需求，监理企业向全过程工程咨询服务转型势在必行。</w:t>
      </w:r>
    </w:p>
    <w:p w14:paraId="43697776">
      <w:pPr>
        <w:pStyle w:val="11"/>
        <w:spacing w:before="312"/>
        <w:ind w:firstLine="480"/>
      </w:pPr>
      <w:r>
        <w:t>3</w:t>
      </w:r>
      <w:r>
        <w:rPr>
          <w:rFonts w:hint="eastAsia"/>
        </w:rPr>
        <w:t>、市场发展的需求</w:t>
      </w:r>
    </w:p>
    <w:p w14:paraId="4018D3AB">
      <w:pPr>
        <w:pStyle w:val="11"/>
        <w:spacing w:before="312"/>
        <w:ind w:firstLine="480"/>
      </w:pPr>
      <w:r>
        <w:rPr>
          <w:rFonts w:hint="eastAsia"/>
        </w:rPr>
        <w:t>成本控制、质量控制、进度控制是建设工程管理的三大重点内容。节约成本、优化工期一直是建筑市场追求的目标。全过程工程咨询服务从项目的前期负责到项目的结束，各阶段紧密联系，保证工程建设的连贯性，形成完整的信息链。同时可以免掉设计招标、造价咨询招标等活动，为项目减少一部分费用支出，也减少工作过程中因为沟通不到位而导致的失误。</w:t>
      </w:r>
    </w:p>
    <w:p w14:paraId="137D0CE2">
      <w:pPr>
        <w:pStyle w:val="4"/>
        <w:spacing w:before="312"/>
        <w:ind w:firstLine="482"/>
      </w:pPr>
      <w:bookmarkStart w:id="211" w:name="_Toc77163505"/>
      <w:bookmarkStart w:id="212" w:name="_Toc106799729"/>
      <w:bookmarkStart w:id="213" w:name="_Toc43305007"/>
      <w:bookmarkStart w:id="214" w:name="_Toc176025910"/>
      <w:bookmarkStart w:id="215" w:name="_Toc27755411"/>
      <w:bookmarkStart w:id="216" w:name="_Toc66779113"/>
      <w:r>
        <w:rPr>
          <w:rFonts w:hint="eastAsia"/>
        </w:rPr>
        <w:t>四、工程监理企业发展全过程工程咨询问题及原因</w:t>
      </w:r>
      <w:bookmarkEnd w:id="211"/>
      <w:bookmarkEnd w:id="212"/>
      <w:bookmarkEnd w:id="213"/>
      <w:bookmarkEnd w:id="214"/>
      <w:bookmarkEnd w:id="215"/>
      <w:bookmarkEnd w:id="216"/>
    </w:p>
    <w:p w14:paraId="3F63F1B3">
      <w:pPr>
        <w:pStyle w:val="11"/>
        <w:spacing w:before="312"/>
        <w:ind w:firstLine="480"/>
      </w:pPr>
      <w:r>
        <w:t>1</w:t>
      </w:r>
      <w:r>
        <w:rPr>
          <w:rFonts w:hint="eastAsia"/>
        </w:rPr>
        <w:t>、市场竞争激烈</w:t>
      </w:r>
    </w:p>
    <w:p w14:paraId="783C3152">
      <w:pPr>
        <w:pStyle w:val="11"/>
        <w:spacing w:before="312"/>
        <w:ind w:firstLine="480"/>
      </w:pPr>
      <w:r>
        <w:rPr>
          <w:rFonts w:hint="eastAsia"/>
        </w:rPr>
        <w:t>自我国进入</w:t>
      </w:r>
      <w:r>
        <w:t>WTO</w:t>
      </w:r>
      <w:r>
        <w:rPr>
          <w:rFonts w:hint="eastAsia"/>
        </w:rPr>
        <w:t>后，外资企业不断进入我国，跨国合作的项目逐渐呈上升趋势，我国企业的竞争对手不局限于国内企业，还有很多境外机构，外企与国内企业争夺市场份额的现象也司空见惯。在激烈的市场竞争中，实力较弱的企业先后被淘汰，实力较强的监理企业虽然侥幸存活下来，但依然存在更大的风险，需要不断适应更具有竞争优势的市场，提高自身发展优势，以保持企业能立足市场，同时还要面对其它行业带来的竞争压力。</w:t>
      </w:r>
    </w:p>
    <w:p w14:paraId="383D1A10">
      <w:pPr>
        <w:pStyle w:val="11"/>
        <w:spacing w:before="312"/>
        <w:ind w:firstLine="480"/>
      </w:pPr>
      <w:r>
        <w:t>2</w:t>
      </w:r>
      <w:r>
        <w:rPr>
          <w:rFonts w:hint="eastAsia"/>
        </w:rPr>
        <w:t>、加强人才培养</w:t>
      </w:r>
    </w:p>
    <w:p w14:paraId="1B1DBAA5">
      <w:pPr>
        <w:pStyle w:val="11"/>
        <w:spacing w:before="312"/>
        <w:ind w:firstLine="480"/>
      </w:pPr>
      <w:r>
        <w:rPr>
          <w:rFonts w:hint="eastAsia"/>
        </w:rPr>
        <w:t>人才是企业发展的核心，是企业创新的原生动力。扎实的专业、深入的实践、良好的沟通、果断的指挥、优良的道德品质是监理工程师必备的素质，也是其能够胜任工程建设监理任务的基本条件。从事咨询服务人员必须熟练掌握建设工程管理全寿命周期各个环节的相关知识。监理人员不仅要达到相应的资质等级，还要了解规章制度、法律法规，并且对我国政治、经济、乃至对全球的行业发展动向都要有所了解。</w:t>
      </w:r>
    </w:p>
    <w:p w14:paraId="5E8E15D2">
      <w:pPr>
        <w:pStyle w:val="11"/>
        <w:spacing w:before="312"/>
        <w:ind w:firstLine="480"/>
      </w:pPr>
      <w:r>
        <w:t>3</w:t>
      </w:r>
      <w:r>
        <w:rPr>
          <w:rFonts w:hint="eastAsia"/>
        </w:rPr>
        <w:t>、社会资源整合</w:t>
      </w:r>
    </w:p>
    <w:p w14:paraId="0BE7F6E1">
      <w:pPr>
        <w:pStyle w:val="11"/>
        <w:spacing w:before="312"/>
        <w:ind w:firstLine="480"/>
      </w:pPr>
      <w:r>
        <w:rPr>
          <w:rFonts w:hint="eastAsia"/>
        </w:rPr>
        <w:t>我国监理行业中大型综合实力雄厚的监理企业还是较少，为此，我们必须使监理行业的规模壮大起来。①各监理企业之间可以采用合同形式在人员管理上相互出借</w:t>
      </w:r>
      <w:r>
        <w:t>,</w:t>
      </w:r>
      <w:r>
        <w:rPr>
          <w:rFonts w:hint="eastAsia"/>
        </w:rPr>
        <w:t>这样可以避免缺工及窝工现象，有效的节约监理企业的成本，发挥出监理人员的自身优势；②由多家监理、设计、基建企业共同组成一个大型的全方面的综合性监理企业，各自发挥其特长，成立一个总承包公司；③由两个或多个监理公司组成合作伙伴，通过采取契约、相互协作而组成的互动互补、风险同担的合作模式，实现占领市场的目标的优势。</w:t>
      </w:r>
    </w:p>
    <w:p w14:paraId="5CF6C431">
      <w:pPr>
        <w:pStyle w:val="11"/>
        <w:spacing w:before="312"/>
        <w:ind w:firstLine="480"/>
      </w:pPr>
      <w:r>
        <w:t>4</w:t>
      </w:r>
      <w:r>
        <w:rPr>
          <w:rFonts w:hint="eastAsia"/>
        </w:rPr>
        <w:t>、立足自身，发挥特长</w:t>
      </w:r>
    </w:p>
    <w:p w14:paraId="01D17D52">
      <w:pPr>
        <w:pStyle w:val="11"/>
        <w:spacing w:before="312"/>
        <w:ind w:firstLine="480"/>
      </w:pPr>
      <w:r>
        <w:rPr>
          <w:rFonts w:hint="eastAsia"/>
        </w:rPr>
        <w:t>实行全过程咨询不是所有监理企业一拥而上，专业监理依然是全过程咨询中企业的核心竞争力，只有夯实基础、发挥特长，才能有更大的发展空间，提升企业竞争力。</w:t>
      </w:r>
    </w:p>
    <w:p w14:paraId="5CC16D62">
      <w:pPr>
        <w:pStyle w:val="4"/>
        <w:spacing w:before="312"/>
        <w:ind w:firstLine="482"/>
      </w:pPr>
      <w:bookmarkStart w:id="217" w:name="_Toc43305008"/>
      <w:bookmarkStart w:id="218" w:name="_Toc66779114"/>
      <w:bookmarkStart w:id="219" w:name="_Toc176025911"/>
      <w:bookmarkStart w:id="220" w:name="_Toc77163506"/>
      <w:bookmarkStart w:id="221" w:name="_Toc106799730"/>
      <w:bookmarkStart w:id="222" w:name="_Toc27755412"/>
      <w:r>
        <w:rPr>
          <w:rFonts w:hint="eastAsia"/>
        </w:rPr>
        <w:t>五、工程监理企业开展全过程工程咨询优势分析</w:t>
      </w:r>
      <w:bookmarkEnd w:id="217"/>
      <w:bookmarkEnd w:id="218"/>
      <w:bookmarkEnd w:id="219"/>
      <w:bookmarkEnd w:id="220"/>
      <w:bookmarkEnd w:id="221"/>
      <w:bookmarkEnd w:id="222"/>
    </w:p>
    <w:p w14:paraId="038E2418">
      <w:pPr>
        <w:pStyle w:val="11"/>
        <w:spacing w:before="312"/>
        <w:ind w:firstLine="480"/>
      </w:pPr>
      <w:r>
        <w:t>1</w:t>
      </w:r>
      <w:r>
        <w:rPr>
          <w:rFonts w:hint="eastAsia"/>
        </w:rPr>
        <w:t>、动力与意愿更为强烈</w:t>
      </w:r>
    </w:p>
    <w:p w14:paraId="7F0B6EE0">
      <w:pPr>
        <w:pStyle w:val="11"/>
        <w:spacing w:before="312"/>
        <w:ind w:firstLine="480"/>
      </w:pPr>
      <w:r>
        <w:rPr>
          <w:rFonts w:hint="eastAsia"/>
        </w:rPr>
        <w:t>因历史原因，我国工程咨询业体制是前期工程咨询、勘察设计、造价咨询、招标代理、工程监理、项目管理条块分割，各行其是。在现行的设计行业工作模式和人才培养模式下，大量设计人员并不擅长也不愿意从事项目前期、过程管理等工作。</w:t>
      </w:r>
      <w:r>
        <w:t>EPC</w:t>
      </w:r>
      <w:r>
        <w:rPr>
          <w:rFonts w:hint="eastAsia"/>
        </w:rPr>
        <w:t>模式推行以来一直由施工单位主导设计的现状也印证了上述情况。另一方面，其他前期咨询、招标代理、造价咨询企业业务能力更多局限于特定专业中，不具备全过程专业统筹策划能力，如造价咨询企业擅长全过程造价控制，但在策划、管理、协调方面缺乏人才与经验。</w:t>
      </w:r>
    </w:p>
    <w:p w14:paraId="74A9967C">
      <w:pPr>
        <w:pStyle w:val="11"/>
        <w:spacing w:before="312"/>
        <w:ind w:firstLine="480"/>
      </w:pPr>
      <w:r>
        <w:rPr>
          <w:rFonts w:hint="eastAsia"/>
        </w:rPr>
        <w:t>对于工程监理企业，从原有较为低端、劳务化的工程监理向更为高端、附加值更高的全过程工程咨询服务转型升级，提升行业水平，转变行业形象，这本身就是一个重大的历史机遇。另外，工程监理企业通过向上下游延伸服务，获得比监理服务更高的取费，将有助于提升利润空间，集聚行业优质人才，同时带给监理技术人员更大的转型动力，促使其成为工程咨询行业重塑形象的主力军。</w:t>
      </w:r>
    </w:p>
    <w:p w14:paraId="28FF10DA">
      <w:pPr>
        <w:pStyle w:val="11"/>
        <w:spacing w:before="312"/>
        <w:ind w:firstLine="480"/>
      </w:pPr>
      <w:r>
        <w:t>2</w:t>
      </w:r>
      <w:r>
        <w:rPr>
          <w:rFonts w:hint="eastAsia"/>
        </w:rPr>
        <w:t>、人才集聚优势助力工程总承包推广</w:t>
      </w:r>
    </w:p>
    <w:p w14:paraId="5C365422">
      <w:pPr>
        <w:pStyle w:val="11"/>
        <w:spacing w:before="312"/>
        <w:ind w:firstLine="480"/>
      </w:pPr>
      <w:r>
        <w:rPr>
          <w:rFonts w:hint="eastAsia"/>
        </w:rPr>
        <w:t>目前国家全力推行工程总承包和全过程工程咨询，希望形成两者相辅相成、相互促进发展的局面，进而提升中国建筑业的实施与管理水平。综合实力较强的工程监理单位由于集中了设计、招标、造价、工程管理等各方面的技术人员，在招标文件上能够对设计标准、工作内容界定、施工技术标准、合同价格及计价和价格调整原则、材料设备品牌范围及技术参数要求等内容进行清晰定义，围绕项目业主的投资目标，高度整合勘察、设计、监理、造价、招标等业务资源，提供全过程一体化的项目决策咨询和全过程管理控制服务，能够助力工程总承包的实施和推广。</w:t>
      </w:r>
    </w:p>
    <w:p w14:paraId="2B468D7F">
      <w:pPr>
        <w:pStyle w:val="11"/>
        <w:spacing w:before="312"/>
        <w:ind w:firstLine="480"/>
      </w:pPr>
      <w:r>
        <w:t>3</w:t>
      </w:r>
      <w:r>
        <w:rPr>
          <w:rFonts w:hint="eastAsia"/>
        </w:rPr>
        <w:t>、先发优势较为明显</w:t>
      </w:r>
    </w:p>
    <w:p w14:paraId="4CAEFF40">
      <w:pPr>
        <w:pStyle w:val="11"/>
        <w:spacing w:before="312"/>
        <w:ind w:firstLine="480"/>
      </w:pPr>
      <w:r>
        <w:rPr>
          <w:rFonts w:hint="eastAsia"/>
        </w:rPr>
        <w:t>自《关于培育发展工程总承包和工程项目管理企业的指导意见》（建市〔</w:t>
      </w:r>
      <w:r>
        <w:t>2003</w:t>
      </w:r>
      <w:r>
        <w:rPr>
          <w:rFonts w:hint="eastAsia"/>
        </w:rPr>
        <w:t>〕</w:t>
      </w:r>
      <w:r>
        <w:t>30</w:t>
      </w:r>
      <w:r>
        <w:rPr>
          <w:rFonts w:hint="eastAsia"/>
        </w:rPr>
        <w:t>号）提出项目管理概念以来，一些大型工程监理企业凭借国家政策的大力支持，通过提供全过程项目管理、项目代建服务，已涉足投资咨询、招标采购、工程造价、绿色建筑、物业运维管理等相关咨询服务领域，具备向工程咨询上下游产业延伸的能力和条件。同时，通过联合、重组、互补、股本互持等方式开展全过程工程咨询业务领域的合作，为工程咨询的全过程服务提供了多元化业务领域互补的可能。另外，大型监理企业在创新发展中突破认知上的局限，寻求从企业到行业再到行业集成的转型升级路径发展中，打造出一支集设计、招标、造价咨询、项目管理于一体的具有综合管理能力的全过程工程咨询队伍。</w:t>
      </w:r>
    </w:p>
    <w:p w14:paraId="70832A57">
      <w:pPr>
        <w:pStyle w:val="11"/>
        <w:spacing w:before="312"/>
        <w:ind w:firstLine="480"/>
      </w:pPr>
      <w:r>
        <w:rPr>
          <w:rFonts w:hint="eastAsia"/>
        </w:rPr>
        <w:t>全过程工程咨询对于工程咨询企业来说，是综合实力的集中体现。打造全过程工程咨询服务能力，需要企业在以往历史积累的基础上，适应新时代发展的新需求，从企业各个方面扎实推进能力建设。这个过程艰辛并充满挑战，需要企业长期坚持。在此过程中，行业企业应相互学习借鉴、取长补短，共同致力于能力建设与实践，打造全过程工程咨询的中国标准，向国际市场输出中国模式，携手走进更加璀璨美好的未来。</w:t>
      </w:r>
    </w:p>
    <w:p w14:paraId="72FC419D">
      <w:pPr>
        <w:pStyle w:val="4"/>
        <w:spacing w:before="312"/>
        <w:ind w:firstLine="482"/>
      </w:pPr>
      <w:bookmarkStart w:id="223" w:name="_Toc43305009"/>
      <w:bookmarkStart w:id="224" w:name="_Toc27755413"/>
      <w:bookmarkStart w:id="225" w:name="_Toc106799731"/>
      <w:bookmarkStart w:id="226" w:name="_Toc66779115"/>
      <w:bookmarkStart w:id="227" w:name="_Toc77163507"/>
      <w:bookmarkStart w:id="228" w:name="_Toc176025912"/>
      <w:r>
        <w:rPr>
          <w:rFonts w:hint="eastAsia"/>
        </w:rPr>
        <w:t>六、全过程工程咨询模式下工程监理企业的策略</w:t>
      </w:r>
      <w:bookmarkEnd w:id="223"/>
      <w:bookmarkEnd w:id="224"/>
      <w:bookmarkEnd w:id="225"/>
      <w:bookmarkEnd w:id="226"/>
      <w:bookmarkEnd w:id="227"/>
      <w:bookmarkEnd w:id="228"/>
    </w:p>
    <w:p w14:paraId="526E2789">
      <w:pPr>
        <w:pStyle w:val="11"/>
        <w:spacing w:before="312"/>
        <w:ind w:firstLine="480"/>
      </w:pPr>
      <w:r>
        <w:t>1</w:t>
      </w:r>
      <w:r>
        <w:rPr>
          <w:rFonts w:hint="eastAsia"/>
        </w:rPr>
        <w:t>、加强转变观念</w:t>
      </w:r>
    </w:p>
    <w:p w14:paraId="66EF8437">
      <w:pPr>
        <w:pStyle w:val="11"/>
        <w:spacing w:before="312"/>
        <w:ind w:firstLine="480"/>
      </w:pPr>
      <w:r>
        <w:rPr>
          <w:rFonts w:hint="eastAsia"/>
        </w:rPr>
        <w:t>要想保证监理企业转型成功，就需要从观念上进行转变。需要监理企业的工作人员转变以往的观念，不再把监理工作只当作施工时有用。监理企业要学会正确引导员工，明确自身的发展方向，结合当前企业发展的具体情况，来制定发展目标。让员工可以更新观念，提升自身的素养，在工作中提高自身的专业知识与技能，积极参与到服务中来。在服务的过程中更好地扩大监理行业的信用度，让监理行业走向规范化、科学化的道路，适应当前市场的需求，进行改革，为企业的发展创造机会。</w:t>
      </w:r>
    </w:p>
    <w:p w14:paraId="0DB01CD5">
      <w:pPr>
        <w:pStyle w:val="11"/>
        <w:spacing w:before="312"/>
        <w:ind w:firstLine="480"/>
      </w:pPr>
      <w:r>
        <w:t>2</w:t>
      </w:r>
      <w:r>
        <w:rPr>
          <w:rFonts w:hint="eastAsia"/>
        </w:rPr>
        <w:t>、在业务上综合发展</w:t>
      </w:r>
    </w:p>
    <w:p w14:paraId="384ECB9B">
      <w:pPr>
        <w:pStyle w:val="11"/>
        <w:spacing w:before="312"/>
        <w:ind w:firstLine="480"/>
      </w:pPr>
      <w:r>
        <w:rPr>
          <w:rFonts w:hint="eastAsia"/>
        </w:rPr>
        <w:t>监理企业开始走向正规化，住建部在</w:t>
      </w:r>
      <w:r>
        <w:t>2017</w:t>
      </w:r>
      <w:r>
        <w:rPr>
          <w:rFonts w:hint="eastAsia"/>
        </w:rPr>
        <w:t>年有专门的文件指出</w:t>
      </w:r>
      <w:r>
        <w:t>:</w:t>
      </w:r>
      <w:r>
        <w:rPr>
          <w:rFonts w:hint="eastAsia"/>
        </w:rPr>
        <w:t>“监理企业可以通过多方位的方式来拓展业务实现全过程工程咨询。打破了原有的咨询模式，充分发挥了密集型产业的作用。监理企业除了施工进行监督之外，还可以把业务向项目的决策延伸，给业主提供可行性的研究、对他们的资金进行分析、编写项目意见书等，还可以延伸到工程保修方面，比如说设计、造价、材料的采购等工作。随着延伸的不断深入，企业可以根据实际情况提供一些有用的信息，可以结合企业发展的情况来提供服务，等掌握了相关的服务技术后再进行服务，通过这样的方式可以推动企业的转型升级。</w:t>
      </w:r>
    </w:p>
    <w:p w14:paraId="41E5C3F0">
      <w:pPr>
        <w:pStyle w:val="11"/>
        <w:spacing w:before="312"/>
        <w:ind w:firstLine="480"/>
      </w:pPr>
      <w:r>
        <w:t>3</w:t>
      </w:r>
      <w:r>
        <w:rPr>
          <w:rFonts w:hint="eastAsia"/>
        </w:rPr>
        <w:t>、结构上实行合作或并购</w:t>
      </w:r>
    </w:p>
    <w:p w14:paraId="269AA4BB">
      <w:pPr>
        <w:pStyle w:val="11"/>
        <w:spacing w:before="312"/>
        <w:ind w:firstLine="480"/>
      </w:pPr>
      <w:r>
        <w:rPr>
          <w:rFonts w:hint="eastAsia"/>
        </w:rPr>
        <w:t>监理企业要想发展，可以和一些企业进行磋商合作，通过联合的方式或控股的方式进行结合，参与到工程项目中，一起进行资源共享。在转型刚开始时，监理企业可以提高自身的经营资质，为以后独自工作打下基础。监理企业可以和国内企业合作，还可以与一些外商合作，在一定程度上提高双方的竞争力，学习一些先进的经验，实现共赢。对于能力强的监理企业来说，可以通过重组并购的方式来提升企业，把一些不具备的服务内容归入到企业的经营资质中，让企业可以达到全过程工程咨询服务的要求。</w:t>
      </w:r>
    </w:p>
    <w:p w14:paraId="15AE6BE8">
      <w:pPr>
        <w:pStyle w:val="11"/>
        <w:spacing w:before="312"/>
        <w:ind w:firstLine="480"/>
      </w:pPr>
      <w:r>
        <w:t>4</w:t>
      </w:r>
      <w:r>
        <w:rPr>
          <w:rFonts w:hint="eastAsia"/>
        </w:rPr>
        <w:t>、主动进市场开拓，引导业主的需求</w:t>
      </w:r>
    </w:p>
    <w:p w14:paraId="5F6E722E">
      <w:pPr>
        <w:pStyle w:val="11"/>
        <w:spacing w:before="312"/>
        <w:ind w:firstLine="480"/>
      </w:pPr>
      <w:r>
        <w:rPr>
          <w:rFonts w:hint="eastAsia"/>
        </w:rPr>
        <w:t>一般而言，建筑工程具有投入较大，工期长，风险高的特点，其与普通消费品的购买方式也有很大的不同。因此，使相关业主在对项目管理单位进行选择时，最重视相关单位的业绩与资质；由此可见，监理企业需要主动的对市场进行开拓，而不是等项目客户主动上门。此外，一些业主对工程项目管理并不了解，所以监理公司的另一项重要任务就是对业主进行需求引导；向业主介绍相关的项目管理的内容和相应的过程，同时普及专业化项目管理的必要性，介绍本单位的实力以及优势项目；为使业主不断出现的新需求得到有效满足，监理企业与单位要不断的扩展新的业务与领域。</w:t>
      </w:r>
    </w:p>
    <w:p w14:paraId="2B1F32D1">
      <w:pPr>
        <w:pStyle w:val="11"/>
        <w:spacing w:before="312"/>
        <w:ind w:firstLine="480"/>
      </w:pPr>
      <w:r>
        <w:t>5</w:t>
      </w:r>
      <w:r>
        <w:rPr>
          <w:rFonts w:hint="eastAsia"/>
        </w:rPr>
        <w:t>、对企业的组织结构进行相应的调整，以适应项目管理企业的需求</w:t>
      </w:r>
    </w:p>
    <w:p w14:paraId="66ED492D">
      <w:pPr>
        <w:pStyle w:val="11"/>
        <w:spacing w:before="312"/>
        <w:ind w:firstLine="480"/>
      </w:pPr>
      <w:r>
        <w:rPr>
          <w:rFonts w:hint="eastAsia"/>
        </w:rPr>
        <w:t>监理企业需要按照企业的业务范围以及领域，对企业内部的组织、部门进行科学的划分与设置，确定各部门、组织的职责，建立一个适应项目变化的、灵活的项目管理组织机构。由于监理企业发展的时间较短，其原有的组织结构对外界发生变化时的反应较慢，不适应当前快速发展的市场环境，无法满足业主的新需求。企业单位可以参考项目生命周期理论，利用不同的组织结构，来适应项目的发展。国外发达国家较为成熟的工程项目管理公司，基本都采用矩阵式的组织结构；在相关部门的设置上，外国的公司与单位都设有与其业务相匹配的部门，借助项目管理办公室，可同时为多个项目或项目组制提供所需要的管理服务。我国的监理企业可以借鉴国外公司的组织模式，以自身的业务特点和企业规模出发，进一步的对自身组织结构进行调整，以适应监理公司的转型需要。</w:t>
      </w:r>
    </w:p>
    <w:p w14:paraId="381D279A">
      <w:pPr>
        <w:pStyle w:val="4"/>
        <w:spacing w:before="312"/>
        <w:ind w:firstLine="482"/>
      </w:pPr>
      <w:bookmarkStart w:id="229" w:name="_Toc106799732"/>
      <w:bookmarkStart w:id="230" w:name="_Toc27755414"/>
      <w:bookmarkStart w:id="231" w:name="_Toc176025913"/>
      <w:bookmarkStart w:id="232" w:name="_Toc43305010"/>
      <w:bookmarkStart w:id="233" w:name="_Toc77163508"/>
      <w:bookmarkStart w:id="234" w:name="_Toc66779116"/>
      <w:r>
        <w:rPr>
          <w:rFonts w:hint="eastAsia"/>
        </w:rPr>
        <w:t>七、全过程工程咨询模式下工程监理企业转型升级</w:t>
      </w:r>
      <w:bookmarkEnd w:id="229"/>
      <w:bookmarkEnd w:id="230"/>
      <w:bookmarkEnd w:id="231"/>
      <w:bookmarkEnd w:id="232"/>
      <w:bookmarkEnd w:id="233"/>
      <w:bookmarkEnd w:id="234"/>
    </w:p>
    <w:p w14:paraId="51851A22">
      <w:pPr>
        <w:pStyle w:val="5"/>
        <w:spacing w:before="312"/>
        <w:ind w:firstLine="482"/>
      </w:pPr>
      <w:bookmarkStart w:id="235" w:name="_Toc27755415"/>
      <w:bookmarkStart w:id="236" w:name="_Toc106799733"/>
      <w:bookmarkStart w:id="237" w:name="_Toc176025914"/>
      <w:bookmarkStart w:id="238" w:name="_Toc77163509"/>
      <w:bookmarkStart w:id="239" w:name="_Toc66779117"/>
      <w:bookmarkStart w:id="240" w:name="_Toc43305011"/>
      <w:r>
        <w:t>1</w:t>
      </w:r>
      <w:r>
        <w:rPr>
          <w:rFonts w:hint="eastAsia"/>
        </w:rPr>
        <w:t>、监理行业面临的机遇与挑战</w:t>
      </w:r>
      <w:bookmarkEnd w:id="235"/>
      <w:bookmarkEnd w:id="236"/>
      <w:bookmarkEnd w:id="237"/>
      <w:bookmarkEnd w:id="238"/>
      <w:bookmarkEnd w:id="239"/>
      <w:bookmarkEnd w:id="240"/>
    </w:p>
    <w:p w14:paraId="7A48665C">
      <w:pPr>
        <w:pStyle w:val="11"/>
        <w:spacing w:before="312"/>
        <w:ind w:firstLine="480"/>
      </w:pPr>
      <w:r>
        <w:t>1</w:t>
      </w:r>
      <w:r>
        <w:rPr>
          <w:rFonts w:hint="eastAsia"/>
        </w:rPr>
        <w:t>、机遇</w:t>
      </w:r>
    </w:p>
    <w:p w14:paraId="468BD9B9">
      <w:pPr>
        <w:pStyle w:val="11"/>
        <w:spacing w:before="312"/>
        <w:ind w:firstLine="480"/>
      </w:pPr>
      <w:r>
        <w:rPr>
          <w:rFonts w:hint="eastAsia"/>
        </w:rPr>
        <w:t>“十四五”时期，我国监理行业面临难得的发展机遇。从国内环境看，十九大明确了要继续深化供给侧改革，加强铁路、公路、管道、水利等基础设施建设，要坚持创新驱动，提高建筑业科技水平和信息化水平，要完善建筑业市场经济体制，保证竞争公平有序、企业优胜劣汰。另外，“十四五”规划纲要提出加大城市群建设步伐，大力推进京津冀环渤海湾、长江三角洲区域、粤港澳大湾区、雄安新区等建设，推动美丽乡村、特色小镇建设，这为监理行业带来了众多提供监理服务的机会。</w:t>
      </w:r>
    </w:p>
    <w:p w14:paraId="7E2C633F">
      <w:pPr>
        <w:pStyle w:val="11"/>
        <w:spacing w:before="312"/>
        <w:ind w:firstLine="480"/>
      </w:pPr>
      <w:r>
        <w:rPr>
          <w:rFonts w:hint="eastAsia"/>
        </w:rPr>
        <w:t>国家出台的一系列相关政策也为工程监理行业发展指明了方向，如国办发《关于促进建筑业持续健康发展的意见》（国办发〔</w:t>
      </w:r>
      <w:r>
        <w:t>2017</w:t>
      </w:r>
      <w:r>
        <w:rPr>
          <w:rFonts w:hint="eastAsia"/>
        </w:rPr>
        <w:t>〕</w:t>
      </w:r>
      <w:r>
        <w:t>19</w:t>
      </w:r>
      <w:r>
        <w:rPr>
          <w:rFonts w:hint="eastAsia"/>
        </w:rPr>
        <w:t>号文）提出要完善工程建设组织模式，鼓励监理、招标代理、造价等企业采用“联合经营、并购重组等方式发展全过程工程咨询”。继</w:t>
      </w:r>
      <w:r>
        <w:t>19</w:t>
      </w:r>
      <w:r>
        <w:rPr>
          <w:rFonts w:hint="eastAsia"/>
        </w:rPr>
        <w:t>号文后，住房城乡建设部发布了关于开展《全过程工程咨询试点工作的通知》（建市〔</w:t>
      </w:r>
      <w:r>
        <w:t>2017</w:t>
      </w:r>
      <w:r>
        <w:rPr>
          <w:rFonts w:hint="eastAsia"/>
        </w:rPr>
        <w:t>〕</w:t>
      </w:r>
      <w:r>
        <w:t>101</w:t>
      </w:r>
      <w:r>
        <w:rPr>
          <w:rFonts w:hint="eastAsia"/>
        </w:rPr>
        <w:t>号文），确定了</w:t>
      </w:r>
      <w:r>
        <w:t>40</w:t>
      </w:r>
      <w:r>
        <w:rPr>
          <w:rFonts w:hint="eastAsia"/>
        </w:rPr>
        <w:t>家企业开展全过程工程咨询试点，其中包括</w:t>
      </w:r>
      <w:r>
        <w:t>16</w:t>
      </w:r>
      <w:r>
        <w:rPr>
          <w:rFonts w:hint="eastAsia"/>
        </w:rPr>
        <w:t>家监理企业。住房城乡建设部发布的《关于促进工程监理行业转型升级创新发展的意见》（建市〔</w:t>
      </w:r>
      <w:r>
        <w:t>2017</w:t>
      </w:r>
      <w:r>
        <w:rPr>
          <w:rFonts w:hint="eastAsia"/>
        </w:rPr>
        <w:t>〕</w:t>
      </w:r>
      <w:r>
        <w:t>145</w:t>
      </w:r>
      <w:r>
        <w:rPr>
          <w:rFonts w:hint="eastAsia"/>
        </w:rPr>
        <w:t>号文）也提出监理行业发展要“以主要从事施工现场监理服务的企业为主体，以提供全过程工程咨询服务的综合性企业为骨干”，构建一个多领域、多层次的监理企业格局，保证行业有序竞争。</w:t>
      </w:r>
    </w:p>
    <w:p w14:paraId="07E86E50">
      <w:pPr>
        <w:pStyle w:val="11"/>
        <w:spacing w:before="312"/>
        <w:ind w:firstLine="480"/>
      </w:pPr>
      <w:r>
        <w:rPr>
          <w:rFonts w:hint="eastAsia"/>
        </w:rPr>
        <w:t>不仅如此，“中国制造</w:t>
      </w:r>
      <w:r>
        <w:t>2025</w:t>
      </w:r>
      <w:r>
        <w:rPr>
          <w:rFonts w:hint="eastAsia"/>
        </w:rPr>
        <w:t>”“互联网</w:t>
      </w:r>
      <w:r>
        <w:t>+</w:t>
      </w:r>
      <w:r>
        <w:rPr>
          <w:rFonts w:hint="eastAsia"/>
        </w:rPr>
        <w:t>”推动了新一代信息技术与制造业等传统产业深度融合，将促进工程咨询行业信息化发展。企业投资主体地位进一步确立，政府与社会资本合作模式加速释放民间投资等都刺激着多元化工程咨询服务需求的增长。</w:t>
      </w:r>
    </w:p>
    <w:p w14:paraId="7ADCA171">
      <w:pPr>
        <w:pStyle w:val="11"/>
        <w:spacing w:before="312"/>
        <w:ind w:firstLine="480"/>
      </w:pPr>
      <w:r>
        <w:rPr>
          <w:rFonts w:hint="eastAsia"/>
        </w:rPr>
        <w:t>从国际环境看，和平和发展仍是世界主题，发展中国家更加迫切加快基础设施建设，投资需求大。“一带一路”倡议的推进不仅促进了中国建设标准体系与国际的对接，带来了广阔的国际工程咨询项目市场，也创造了承接国际工程咨询项目的机会，为我国监理行业带来更大的平台。</w:t>
      </w:r>
    </w:p>
    <w:p w14:paraId="7D2A5698">
      <w:pPr>
        <w:pStyle w:val="11"/>
        <w:spacing w:before="312"/>
        <w:ind w:firstLine="480"/>
      </w:pPr>
      <w:r>
        <w:t>2</w:t>
      </w:r>
      <w:r>
        <w:rPr>
          <w:rFonts w:hint="eastAsia"/>
        </w:rPr>
        <w:t>、挑战</w:t>
      </w:r>
    </w:p>
    <w:p w14:paraId="5C4910CF">
      <w:pPr>
        <w:pStyle w:val="11"/>
        <w:spacing w:before="312"/>
        <w:ind w:firstLine="480"/>
      </w:pPr>
      <w:r>
        <w:rPr>
          <w:rFonts w:hint="eastAsia"/>
        </w:rPr>
        <w:t>在拥有众多机遇的同时，监理行业也面临着不少问题与挑战。从内部条件看，我国监理行业尚且不能满足市场日益增长对多元化工程咨询服务模式的需求，服务手段还是以工程监理为主，服务模式较为单一，国际竞争力低，监理企业技术标准、服务标准、管理水平和信用体系建设有待与国际接轨。同时，监理行业人才匮乏，缺乏建筑领域技术型与管理型专家，人员整体素质有待增强。</w:t>
      </w:r>
    </w:p>
    <w:p w14:paraId="7A16BE52">
      <w:pPr>
        <w:pStyle w:val="11"/>
        <w:spacing w:before="312"/>
        <w:ind w:firstLine="480"/>
      </w:pPr>
      <w:r>
        <w:rPr>
          <w:rFonts w:hint="eastAsia"/>
        </w:rPr>
        <w:t>从外部条件看，国家发改委先后两次改变工程监理计费方式，</w:t>
      </w:r>
      <w:r>
        <w:t>2014</w:t>
      </w:r>
      <w:r>
        <w:rPr>
          <w:rFonts w:hint="eastAsia"/>
        </w:rPr>
        <w:t>年《关于放开部分建设项目服务计费标准有关问题的通知》（发改价格〔</w:t>
      </w:r>
      <w:r>
        <w:t>2014</w:t>
      </w:r>
      <w:r>
        <w:rPr>
          <w:rFonts w:hint="eastAsia"/>
        </w:rPr>
        <w:t>〕</w:t>
      </w:r>
      <w:r>
        <w:t>1573</w:t>
      </w:r>
      <w:r>
        <w:rPr>
          <w:rFonts w:hint="eastAsia"/>
        </w:rPr>
        <w:t>号文）以及</w:t>
      </w:r>
      <w:r>
        <w:t>2015</w:t>
      </w:r>
      <w:r>
        <w:rPr>
          <w:rFonts w:hint="eastAsia"/>
        </w:rPr>
        <w:t>年《关于进一步放开建设项目专业服务价格的通知》（建市〔</w:t>
      </w:r>
      <w:r>
        <w:t>2015</w:t>
      </w:r>
      <w:r>
        <w:rPr>
          <w:rFonts w:hint="eastAsia"/>
        </w:rPr>
        <w:t>〕</w:t>
      </w:r>
      <w:r>
        <w:t>299</w:t>
      </w:r>
      <w:r>
        <w:rPr>
          <w:rFonts w:hint="eastAsia"/>
        </w:rPr>
        <w:t>号文）的发布使得监理计费正式从由政府指导变为由市场调节，同时也明确了“不得违反标准规范规定或合同约定，通过降低服务质量、减少服务内容等手段进行恶性竞争，扰乱正常市场秩序”。但部分建设单位为减少自身投资成本，压低监理计费；部分监理企业迎合业主要求，采取低价中标策略。这些行为导致行业陷入无序竞争状态，监理服务质量难以保证。</w:t>
      </w:r>
    </w:p>
    <w:p w14:paraId="559049EC">
      <w:pPr>
        <w:pStyle w:val="11"/>
        <w:spacing w:before="312"/>
        <w:ind w:firstLine="480"/>
      </w:pPr>
      <w:r>
        <w:rPr>
          <w:rFonts w:hint="eastAsia"/>
        </w:rPr>
        <w:t>除此之外，“放管服”不到位，资质壁垒、地方保护壁垒、政府条线分割管理等都严重制约了监理行业的健康发展，解决这些问题迫在眉睫。</w:t>
      </w:r>
    </w:p>
    <w:p w14:paraId="1B70BF93">
      <w:pPr>
        <w:pStyle w:val="5"/>
        <w:spacing w:before="312"/>
        <w:ind w:firstLine="482"/>
      </w:pPr>
      <w:bookmarkStart w:id="241" w:name="_Toc27755416"/>
      <w:bookmarkStart w:id="242" w:name="_Toc106799734"/>
      <w:bookmarkStart w:id="243" w:name="_Toc77163510"/>
      <w:bookmarkStart w:id="244" w:name="_Toc66779118"/>
      <w:bookmarkStart w:id="245" w:name="_Toc176025915"/>
      <w:bookmarkStart w:id="246" w:name="_Toc43305012"/>
      <w:r>
        <w:t>2</w:t>
      </w:r>
      <w:r>
        <w:rPr>
          <w:rFonts w:hint="eastAsia"/>
        </w:rPr>
        <w:t>、大部分监理企业向做专、做精、做强方向发展</w:t>
      </w:r>
      <w:bookmarkEnd w:id="241"/>
      <w:bookmarkEnd w:id="242"/>
      <w:bookmarkEnd w:id="243"/>
      <w:bookmarkEnd w:id="244"/>
      <w:bookmarkEnd w:id="245"/>
      <w:bookmarkEnd w:id="246"/>
    </w:p>
    <w:p w14:paraId="4F721FE7">
      <w:pPr>
        <w:pStyle w:val="11"/>
        <w:spacing w:before="312"/>
        <w:ind w:firstLine="480"/>
      </w:pPr>
      <w:r>
        <w:rPr>
          <w:rFonts w:hint="eastAsia"/>
        </w:rPr>
        <w:t>监理行业的转型升级发展方向可以划分为三个层次，对于大部分监理企业而言，还是应不忘初心，立足工程监理，以提升监理服务水平为主要方向。大部分监理企业规模较小，对于这类监理企业，应根据自身特点及人才优势，做专、做精、做强专业领域监理，如房建监理、市政监理、电力监理、化工监理等，形成企业独特的专业监理范围、精湛的管理手段、技术标准和方式方法。</w:t>
      </w:r>
    </w:p>
    <w:p w14:paraId="683EAEEB">
      <w:pPr>
        <w:pStyle w:val="5"/>
        <w:spacing w:before="312"/>
        <w:ind w:firstLine="482"/>
      </w:pPr>
      <w:bookmarkStart w:id="247" w:name="_Toc43305013"/>
      <w:bookmarkStart w:id="248" w:name="_Toc66779119"/>
      <w:bookmarkStart w:id="249" w:name="_Toc176025916"/>
      <w:bookmarkStart w:id="250" w:name="_Toc27755417"/>
      <w:bookmarkStart w:id="251" w:name="_Toc77163511"/>
      <w:bookmarkStart w:id="252" w:name="_Toc106799735"/>
      <w:r>
        <w:t>3</w:t>
      </w:r>
      <w:r>
        <w:rPr>
          <w:rFonts w:hint="eastAsia"/>
        </w:rPr>
        <w:t>、部分大中型监理企业向多元化工程咨询方向发展</w:t>
      </w:r>
      <w:bookmarkEnd w:id="247"/>
      <w:bookmarkEnd w:id="248"/>
      <w:bookmarkEnd w:id="249"/>
      <w:bookmarkEnd w:id="250"/>
      <w:bookmarkEnd w:id="251"/>
      <w:bookmarkEnd w:id="252"/>
    </w:p>
    <w:p w14:paraId="47C94A95">
      <w:pPr>
        <w:pStyle w:val="11"/>
        <w:spacing w:before="312"/>
        <w:ind w:firstLine="480"/>
      </w:pPr>
      <w:r>
        <w:rPr>
          <w:rFonts w:hint="eastAsia"/>
        </w:rPr>
        <w:t>对于部分大中型监理企业，在立足于监理本身的基础上，应努力拓展自身服务范围，提供如前期咨询、项目管理、</w:t>
      </w:r>
      <w:r>
        <w:t>BIM</w:t>
      </w:r>
      <w:r>
        <w:rPr>
          <w:rFonts w:hint="eastAsia"/>
        </w:rPr>
        <w:t>咨询、造价咨询、招标代理、项目后评估等多元化工程咨询服务。其中</w:t>
      </w:r>
      <w:r>
        <w:t>BIM</w:t>
      </w:r>
      <w:r>
        <w:rPr>
          <w:rFonts w:hint="eastAsia"/>
        </w:rPr>
        <w:t>咨询服务是一种较为新型的工程咨询业务，指运用</w:t>
      </w:r>
      <w:r>
        <w:t>BuildingInformationModel</w:t>
      </w:r>
      <w:r>
        <w:rPr>
          <w:rFonts w:hint="eastAsia"/>
        </w:rPr>
        <w:t>（建筑信息模型）技术对各种建筑信息做出正确理解，对存在的问题做出高效应对。目前，全国各地近</w:t>
      </w:r>
      <w:r>
        <w:t>50</w:t>
      </w:r>
      <w:r>
        <w:rPr>
          <w:rFonts w:hint="eastAsia"/>
        </w:rPr>
        <w:t>个关于推进</w:t>
      </w:r>
      <w:r>
        <w:t>BIM</w:t>
      </w:r>
      <w:r>
        <w:rPr>
          <w:rFonts w:hint="eastAsia"/>
        </w:rPr>
        <w:t>应用相关政策的发布及建设单位对</w:t>
      </w:r>
      <w:r>
        <w:t>BIM</w:t>
      </w:r>
      <w:r>
        <w:rPr>
          <w:rFonts w:hint="eastAsia"/>
        </w:rPr>
        <w:t>的逐渐认可将带来广阔的</w:t>
      </w:r>
      <w:r>
        <w:t>BIM</w:t>
      </w:r>
      <w:r>
        <w:rPr>
          <w:rFonts w:hint="eastAsia"/>
        </w:rPr>
        <w:t>咨询服务市场。</w:t>
      </w:r>
    </w:p>
    <w:p w14:paraId="103F0E79">
      <w:pPr>
        <w:pStyle w:val="11"/>
        <w:spacing w:before="312"/>
        <w:ind w:firstLine="480"/>
      </w:pPr>
      <w:r>
        <w:rPr>
          <w:rFonts w:hint="eastAsia"/>
        </w:rPr>
        <w:t>同时，这部分监理企业也可以为不同主体提供工程咨询服务，如保险机构委托的</w:t>
      </w:r>
      <w:r>
        <w:t>TIS</w:t>
      </w:r>
      <w:r>
        <w:rPr>
          <w:rFonts w:hint="eastAsia"/>
        </w:rPr>
        <w:t>服务、政府购买第三方服务、建筑师负责制下的质量技术监督服务和为承包商提供相应的技术管理服务等。这些咨询服务有一部分已在一些监理企业得到了推广。比如，</w:t>
      </w:r>
      <w:r>
        <w:t>TIS</w:t>
      </w:r>
      <w:r>
        <w:rPr>
          <w:rFonts w:hint="eastAsia"/>
        </w:rPr>
        <w:t>（质量风险评估）服务是受保险机构委托，对建设工程项目潜在的质量风险因素进行辨识、评估、报告，提出处理建议。以往</w:t>
      </w:r>
      <w:r>
        <w:t>TIS</w:t>
      </w:r>
      <w:r>
        <w:rPr>
          <w:rFonts w:hint="eastAsia"/>
        </w:rPr>
        <w:t>业务基本由国外咨询企业承担完成，而在</w:t>
      </w:r>
      <w:r>
        <w:t>2017</w:t>
      </w:r>
      <w:r>
        <w:rPr>
          <w:rFonts w:hint="eastAsia"/>
        </w:rPr>
        <w:t>年</w:t>
      </w:r>
      <w:r>
        <w:t>2</w:t>
      </w:r>
      <w:r>
        <w:rPr>
          <w:rFonts w:hint="eastAsia"/>
        </w:rPr>
        <w:t>月，上海市住房和城乡建设管理委员会公布了首批</w:t>
      </w:r>
      <w:r>
        <w:t>TIS</w:t>
      </w:r>
      <w:r>
        <w:rPr>
          <w:rFonts w:hint="eastAsia"/>
        </w:rPr>
        <w:t>机构名单，有一批综合级监理企业入选，率先推进</w:t>
      </w:r>
      <w:r>
        <w:t>TIS</w:t>
      </w:r>
      <w:r>
        <w:rPr>
          <w:rFonts w:hint="eastAsia"/>
        </w:rPr>
        <w:t>本土化进程，打破了以往</w:t>
      </w:r>
      <w:r>
        <w:t>TIS</w:t>
      </w:r>
      <w:r>
        <w:rPr>
          <w:rFonts w:hint="eastAsia"/>
        </w:rPr>
        <w:t>市场被外资垄断的状态。另外，有一部分监理企业按照政府购买服务方式积极开展第三方巡查业务，对工程项目关键环节、关键部位进行工程质量安全检查。这一业务在上海、深圳、重庆、江苏等省市得到了大力推广，将逐渐成为政府建设工程管理的新常态。还有，我国从建设新建高峰期转变为建筑日常维护使用期，为延长建筑物的使用寿命，减少既有建筑可能存在的安全风险，既有建筑运维咨询服务需求量将大幅度增长，也将成为监理企业拓展业务范围的重要方向。</w:t>
      </w:r>
    </w:p>
    <w:p w14:paraId="5E1AF15A">
      <w:pPr>
        <w:pStyle w:val="5"/>
        <w:spacing w:before="312"/>
        <w:ind w:firstLine="482"/>
      </w:pPr>
      <w:bookmarkStart w:id="253" w:name="_Toc77163512"/>
      <w:bookmarkStart w:id="254" w:name="_Toc176025917"/>
      <w:bookmarkStart w:id="255" w:name="_Toc27755418"/>
      <w:bookmarkStart w:id="256" w:name="_Toc66779120"/>
      <w:bookmarkStart w:id="257" w:name="_Toc43305014"/>
      <w:bookmarkStart w:id="258" w:name="_Toc106799736"/>
      <w:r>
        <w:t>4</w:t>
      </w:r>
      <w:r>
        <w:rPr>
          <w:rFonts w:hint="eastAsia"/>
        </w:rPr>
        <w:t>、少量骨干监理企业向全过程工程咨询方向发展</w:t>
      </w:r>
      <w:bookmarkEnd w:id="253"/>
      <w:bookmarkEnd w:id="254"/>
      <w:bookmarkEnd w:id="255"/>
      <w:bookmarkEnd w:id="256"/>
      <w:bookmarkEnd w:id="257"/>
      <w:bookmarkEnd w:id="258"/>
    </w:p>
    <w:p w14:paraId="4AA9E8C7">
      <w:pPr>
        <w:pStyle w:val="11"/>
        <w:spacing w:before="312"/>
        <w:ind w:firstLine="480"/>
      </w:pPr>
      <w:r>
        <w:rPr>
          <w:rFonts w:hint="eastAsia"/>
        </w:rPr>
        <w:t>对于少量骨干监理企业，应培育具备提供全过程工程咨询的能力。住房城乡建设部</w:t>
      </w:r>
      <w:r>
        <w:t>2018</w:t>
      </w:r>
      <w:r>
        <w:rPr>
          <w:rFonts w:hint="eastAsia"/>
        </w:rPr>
        <w:t>年</w:t>
      </w:r>
      <w:r>
        <w:t>3</w:t>
      </w:r>
      <w:r>
        <w:rPr>
          <w:rFonts w:hint="eastAsia"/>
        </w:rPr>
        <w:t>月发布《推进全过程工程咨询服务发展的指导意见》（征求意见稿），其定义全过程工程咨询是“对工程建设项目前期研究和决策以及工程项目实施和运行（或称运营）的全生命周期提供包含设计和规划在内的涉及组织、管理、经济和技术等各有关方面的工程咨询服务。可采用多种组织方式，为项目决策、实施和运营持续提供局部或整体解决方案”。根据此定义，监理企业要提供全过程工程咨询服务，一方面要配备具有规划与设计能力的技术人员，提高技术咨询服务水平。另一方面要提升集成管理能力，用全生命周期的理念对工程建设各阶段开展全过程咨询服务，提高工程建设投资效应。开展全过程工程咨询服务，有利于与国际接轨，增强监理企业国际竞争力。政府及国有投资项目将更青睐采用全过程工程咨询服务，全过程工程咨询服务模式也更能满足社会资本建设项目多元化咨询组合的需求。</w:t>
      </w:r>
    </w:p>
    <w:p w14:paraId="73540763">
      <w:pPr>
        <w:pStyle w:val="11"/>
        <w:spacing w:before="312"/>
        <w:ind w:firstLine="480"/>
      </w:pPr>
      <w:r>
        <w:rPr>
          <w:rFonts w:hint="eastAsia"/>
        </w:rPr>
        <w:t>自《住房城乡建设部关于开展全过程工程咨询试点工作的通知》发布（建市〔</w:t>
      </w:r>
      <w:r>
        <w:t>2017</w:t>
      </w:r>
      <w:r>
        <w:rPr>
          <w:rFonts w:hint="eastAsia"/>
        </w:rPr>
        <w:t>〕</w:t>
      </w:r>
      <w:r>
        <w:t>101</w:t>
      </w:r>
      <w:r>
        <w:rPr>
          <w:rFonts w:hint="eastAsia"/>
        </w:rPr>
        <w:t>号文）以来，全国多个省市正在积极推广全过程工程咨询服务的试点工作，特别是在深圳市一些大型的政府投资项目采用委托一家工程咨询企业或多家工程咨询企业组成的联合体以全过程工程咨询服务的模式开展相关工程咨询、项目管理及工程监理等业务，如深圳市新华医院、中山大学深圳建设工程、深圳技术大学建设工程等项目。</w:t>
      </w:r>
    </w:p>
    <w:p w14:paraId="79AC4CC9">
      <w:pPr>
        <w:pStyle w:val="11"/>
        <w:spacing w:before="312"/>
        <w:ind w:firstLine="480"/>
      </w:pPr>
      <w:r>
        <w:rPr>
          <w:rFonts w:hint="eastAsia"/>
        </w:rPr>
        <w:t>监理企业根据自身优势和市场需求在立足于工程监理本身的同时，可向多元化工程咨询服务发展，也可向全过程工程咨询服务发展，但也要清楚认识到全过程工程咨询是工程组织模式的最高模式，但不是唯一模式，并不是所有监理企业都要转型成为具有全过程工程咨询能力的企业。新时代监理企业转型升级发展要遵守国家相关政策，以市场化为基础，以国际化为导向，不断加大科技投入，培育并引进优质人才，完善内部管理机制，加强自身文化建设，树立核心价值观，努力提升自身服务水平，从根本上构建企业核心竞争力。只有这样，才能形成与多元化工程咨询市场需求相适应的多领域、多层次各具特色的核心竞争能力，资源能力互补的行业格局，监理行业才能稳步健康发展，为建筑业高质量发展作出一份贡献。</w:t>
      </w:r>
    </w:p>
    <w:p w14:paraId="485C49AA">
      <w:bookmarkStart w:id="259" w:name="_GoBack"/>
      <w:bookmarkEnd w:id="259"/>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3E6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100" w:line="360" w:lineRule="auto"/>
      <w:jc w:val="both"/>
    </w:pPr>
    <w:rPr>
      <w:rFonts w:asciiTheme="minorHAnsi" w:hAnsiTheme="minorHAnsi" w:eastAsiaTheme="minorEastAsia" w:cstheme="minorBidi"/>
      <w:kern w:val="2"/>
      <w:sz w:val="24"/>
      <w:szCs w:val="22"/>
      <w:lang w:val="en-US" w:eastAsia="zh-CN" w:bidi="ar-SA"/>
    </w:rPr>
  </w:style>
  <w:style w:type="paragraph" w:styleId="2">
    <w:name w:val="heading 1"/>
    <w:basedOn w:val="1"/>
    <w:next w:val="1"/>
    <w:qFormat/>
    <w:uiPriority w:val="0"/>
    <w:pPr>
      <w:keepNext/>
      <w:keepLines/>
      <w:pageBreakBefore/>
      <w:jc w:val="center"/>
      <w:outlineLvl w:val="0"/>
    </w:pPr>
    <w:rPr>
      <w:rFonts w:eastAsia="黑体"/>
      <w:b/>
      <w:bCs/>
      <w:kern w:val="44"/>
      <w:sz w:val="36"/>
      <w:szCs w:val="44"/>
    </w:rPr>
  </w:style>
  <w:style w:type="paragraph" w:styleId="3">
    <w:name w:val="heading 2"/>
    <w:basedOn w:val="1"/>
    <w:next w:val="1"/>
    <w:unhideWhenUsed/>
    <w:qFormat/>
    <w:uiPriority w:val="0"/>
    <w:pPr>
      <w:keepNext/>
      <w:keepLines/>
      <w:jc w:val="center"/>
      <w:outlineLvl w:val="1"/>
    </w:pPr>
    <w:rPr>
      <w:rFonts w:eastAsia="黑体" w:asciiTheme="majorHAnsi" w:hAnsiTheme="majorHAnsi" w:cstheme="majorBidi"/>
      <w:b/>
      <w:bCs/>
      <w:sz w:val="32"/>
      <w:szCs w:val="32"/>
    </w:rPr>
  </w:style>
  <w:style w:type="paragraph" w:styleId="4">
    <w:name w:val="heading 3"/>
    <w:basedOn w:val="1"/>
    <w:next w:val="1"/>
    <w:unhideWhenUsed/>
    <w:qFormat/>
    <w:uiPriority w:val="0"/>
    <w:pPr>
      <w:keepNext/>
      <w:keepLines/>
      <w:ind w:firstLine="160" w:firstLineChars="160"/>
      <w:jc w:val="left"/>
      <w:outlineLvl w:val="2"/>
    </w:pPr>
    <w:rPr>
      <w:rFonts w:eastAsia="黑体"/>
      <w:b/>
      <w:bCs/>
      <w:sz w:val="30"/>
      <w:szCs w:val="32"/>
    </w:rPr>
  </w:style>
  <w:style w:type="paragraph" w:styleId="5">
    <w:name w:val="heading 4"/>
    <w:basedOn w:val="1"/>
    <w:next w:val="1"/>
    <w:unhideWhenUsed/>
    <w:qFormat/>
    <w:uiPriority w:val="9"/>
    <w:pPr>
      <w:keepNext/>
      <w:keepLines/>
      <w:ind w:firstLine="200" w:firstLineChars="200"/>
      <w:outlineLvl w:val="3"/>
    </w:pPr>
    <w:rPr>
      <w:rFonts w:eastAsia="黑体" w:asciiTheme="majorHAnsi" w:hAnsiTheme="majorHAnsi" w:cstheme="majorBidi"/>
      <w:b/>
      <w:bCs/>
      <w:szCs w:val="28"/>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6">
    <w:name w:val="footer"/>
    <w:basedOn w:val="1"/>
    <w:unhideWhenUsed/>
    <w:qFormat/>
    <w:uiPriority w:val="99"/>
    <w:pPr>
      <w:pBdr>
        <w:top w:val="single" w:color="auto" w:sz="6" w:space="1"/>
      </w:pBdr>
      <w:tabs>
        <w:tab w:val="center" w:pos="4153"/>
        <w:tab w:val="right" w:pos="8306"/>
      </w:tabs>
      <w:snapToGrid w:val="0"/>
      <w:spacing w:beforeLines="0" w:line="240" w:lineRule="auto"/>
      <w:jc w:val="left"/>
    </w:pPr>
    <w:rPr>
      <w:sz w:val="18"/>
      <w:szCs w:val="18"/>
    </w:rPr>
  </w:style>
  <w:style w:type="paragraph" w:styleId="7">
    <w:name w:val="header"/>
    <w:basedOn w:val="1"/>
    <w:unhideWhenUsed/>
    <w:uiPriority w:val="99"/>
    <w:pPr>
      <w:pBdr>
        <w:bottom w:val="single" w:color="auto" w:sz="6" w:space="1"/>
      </w:pBdr>
      <w:tabs>
        <w:tab w:val="center" w:pos="4153"/>
        <w:tab w:val="right" w:pos="8306"/>
      </w:tabs>
      <w:snapToGrid w:val="0"/>
      <w:spacing w:beforeLines="0" w:line="240" w:lineRule="auto"/>
      <w:jc w:val="center"/>
    </w:pPr>
    <w:rPr>
      <w:sz w:val="18"/>
      <w:szCs w:val="18"/>
    </w:rPr>
  </w:style>
  <w:style w:type="character" w:styleId="10">
    <w:name w:val="Hyperlink"/>
    <w:basedOn w:val="9"/>
    <w:unhideWhenUsed/>
    <w:qFormat/>
    <w:uiPriority w:val="99"/>
    <w:rPr>
      <w:color w:val="0026E5" w:themeColor="hyperlink"/>
      <w:u w:val="single"/>
      <w14:textFill>
        <w14:solidFill>
          <w14:schemeClr w14:val="hlink"/>
        </w14:solidFill>
      </w14:textFill>
    </w:rPr>
  </w:style>
  <w:style w:type="paragraph" w:customStyle="1" w:styleId="11">
    <w:name w:val="正文文字缩进"/>
    <w:basedOn w:val="1"/>
    <w:qFormat/>
    <w:uiPriority w:val="0"/>
    <w:pPr>
      <w:ind w:firstLine="200" w:firstLineChars="200"/>
    </w:pPr>
    <w:rPr>
      <w:rFonts w:eastAsia="宋体"/>
    </w:rPr>
  </w:style>
  <w:style w:type="paragraph" w:customStyle="1" w:styleId="12">
    <w:name w:val="图表"/>
    <w:basedOn w:val="1"/>
    <w:qFormat/>
    <w:uiPriority w:val="0"/>
    <w:pPr>
      <w:jc w:val="center"/>
    </w:pPr>
    <w:rPr>
      <w:rFonts w:eastAsia="黑体"/>
      <w:b/>
    </w:rPr>
  </w:style>
  <w:style w:type="paragraph" w:customStyle="1" w:styleId="13">
    <w:name w:val="黑体 加粗 居中"/>
    <w:basedOn w:val="1"/>
    <w:qFormat/>
    <w:uiPriority w:val="0"/>
    <w:pPr>
      <w:spacing w:beforeLines="0"/>
      <w:jc w:val="center"/>
    </w:pPr>
    <w:rPr>
      <w:rFonts w:ascii="黑体"/>
      <w:b/>
      <w:sz w:val="21"/>
    </w:rPr>
  </w:style>
  <w:style w:type="paragraph" w:customStyle="1" w:styleId="14">
    <w:name w:val="Arial 居中"/>
    <w:basedOn w:val="13"/>
    <w:qFormat/>
    <w:uiPriority w:val="0"/>
    <w:rPr>
      <w:rFonts w:ascii="Arial" w:hAnsi="Arial"/>
      <w:b w:val="0"/>
    </w:rPr>
  </w:style>
  <w:style w:type="paragraph" w:customStyle="1" w:styleId="15">
    <w:name w:val="数据来源"/>
    <w:basedOn w:val="1"/>
    <w:qFormat/>
    <w:uiPriority w:val="0"/>
    <w:pPr>
      <w:spacing w:beforeLines="0"/>
      <w:jc w:val="center"/>
    </w:pPr>
    <w:rPr>
      <w:rFonts w:eastAsia="宋体"/>
    </w:rPr>
  </w:style>
  <w:style w:type="paragraph" w:customStyle="1" w:styleId="16">
    <w:name w:val="图片"/>
    <w:basedOn w:val="12"/>
    <w:qFormat/>
    <w:uiPriority w:val="0"/>
    <w:pPr>
      <w:spacing w:beforeLines="0" w:line="240" w:lineRule="auto"/>
    </w:pPr>
    <w:rPr>
      <w:rFonts w:eastAsiaTheme="minorEastAsi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hart" Target="charts/chart13.xml"/><Relationship Id="rId17" Type="http://schemas.openxmlformats.org/officeDocument/2006/relationships/chart" Target="charts/chart12.xml"/><Relationship Id="rId16" Type="http://schemas.openxmlformats.org/officeDocument/2006/relationships/chart" Target="charts/chart11.xml"/><Relationship Id="rId15" Type="http://schemas.openxmlformats.org/officeDocument/2006/relationships/chart" Target="charts/chart10.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_rels/chart10.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11.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12.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13.xml.rels><?xml version="1.0" encoding="UTF-8" standalone="yes"?>
<Relationships xmlns="http://schemas.openxmlformats.org/package/2006/relationships"><Relationship Id="rId4" Type="http://schemas.microsoft.com/office/2011/relationships/chartColorStyle" Target="colors13.xml"/><Relationship Id="rId3" Type="http://schemas.microsoft.com/office/2011/relationships/chartStyle" Target="style13.xml"/><Relationship Id="rId2" Type="http://schemas.openxmlformats.org/officeDocument/2006/relationships/themeOverride" Target="../theme/themeOverride13.xml"/><Relationship Id="rId1" Type="http://schemas.openxmlformats.org/officeDocument/2006/relationships/package" Target="../embeddings/Workbook13.xlsx"/></Relationships>
</file>

<file path=word/charts/_rels/chart2.xml.rels><?xml version="1.0" encoding="UTF-8" standalone="yes"?>
<Relationships xmlns="http://schemas.openxmlformats.org/package/2006/relationships"><Relationship Id="rId4" Type="http://schemas.microsoft.com/office/2011/relationships/chartColorStyle" Target="colors10.xml"/><Relationship Id="rId3" Type="http://schemas.microsoft.com/office/2011/relationships/chartStyle" Target="style10.xml"/><Relationship Id="rId2" Type="http://schemas.openxmlformats.org/officeDocument/2006/relationships/themeOverride" Target="../theme/themeOverride10.xml"/><Relationship Id="rId1" Type="http://schemas.openxmlformats.org/officeDocument/2006/relationships/package" Target="../embeddings/Workbook10.xlsx"/></Relationships>
</file>

<file path=word/charts/_rels/chart3.xml.rels><?xml version="1.0" encoding="UTF-8" standalone="yes"?>
<Relationships xmlns="http://schemas.openxmlformats.org/package/2006/relationships"><Relationship Id="rId4" Type="http://schemas.microsoft.com/office/2011/relationships/chartColorStyle" Target="colors9.xml"/><Relationship Id="rId3" Type="http://schemas.microsoft.com/office/2011/relationships/chartStyle" Target="style9.xml"/><Relationship Id="rId2" Type="http://schemas.openxmlformats.org/officeDocument/2006/relationships/themeOverride" Target="../theme/themeOverride9.xml"/><Relationship Id="rId1" Type="http://schemas.openxmlformats.org/officeDocument/2006/relationships/package" Target="../embeddings/Workbook9.xlsx"/></Relationships>
</file>

<file path=word/charts/_rels/chart4.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4" Type="http://schemas.microsoft.com/office/2011/relationships/chartColorStyle" Target="colors8.xml"/><Relationship Id="rId3" Type="http://schemas.microsoft.com/office/2011/relationships/chartStyle" Target="style8.xml"/><Relationship Id="rId2" Type="http://schemas.openxmlformats.org/officeDocument/2006/relationships/themeOverride" Target="../theme/themeOverride8.xml"/><Relationship Id="rId1" Type="http://schemas.openxmlformats.org/officeDocument/2006/relationships/package" Target="../embeddings/Workbook8.xlsx"/></Relationships>
</file>

<file path=word/charts/_rels/chart6.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themeOverride" Target="../theme/themeOverrid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4" Type="http://schemas.microsoft.com/office/2011/relationships/chartColorStyle" Target="colors11.xml"/><Relationship Id="rId3" Type="http://schemas.microsoft.com/office/2011/relationships/chartStyle" Target="style11.xml"/><Relationship Id="rId2" Type="http://schemas.openxmlformats.org/officeDocument/2006/relationships/themeOverride" Target="../theme/themeOverride11.xml"/><Relationship Id="rId1" Type="http://schemas.openxmlformats.org/officeDocument/2006/relationships/package" Target="../embeddings/Workbook11.xlsx"/></Relationships>
</file>

<file path=word/charts/_rels/chart8.xml.rels><?xml version="1.0" encoding="UTF-8" standalone="yes"?>
<Relationships xmlns="http://schemas.openxmlformats.org/package/2006/relationships"><Relationship Id="rId4" Type="http://schemas.microsoft.com/office/2011/relationships/chartColorStyle" Target="colors12.xml"/><Relationship Id="rId3" Type="http://schemas.microsoft.com/office/2011/relationships/chartStyle" Target="style12.xml"/><Relationship Id="rId2" Type="http://schemas.openxmlformats.org/officeDocument/2006/relationships/themeOverride" Target="../theme/themeOverride12.xml"/><Relationship Id="rId1" Type="http://schemas.openxmlformats.org/officeDocument/2006/relationships/package" Target="../embeddings/Workbook12.xlsx"/></Relationships>
</file>

<file path=word/charts/_rels/chart9.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000" b="0">
                <a:latin typeface="宋体" panose="02010600030101010101" charset="-122"/>
                <a:ea typeface="宋体" panose="02010600030101010101" charset="-122"/>
              </a:rPr>
              <a:t>单位：个</a:t>
            </a:r>
            <a:endParaRPr lang="zh-CN" altLang="en-US" sz="1000" b="0">
              <a:latin typeface="宋体" panose="02010600030101010101" charset="-122"/>
              <a:ea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2019年</c:v>
                </c:pt>
                <c:pt idx="1">
                  <c:v>2020年</c:v>
                </c:pt>
                <c:pt idx="2">
                  <c:v>2021年</c:v>
                </c:pt>
                <c:pt idx="3">
                  <c:v>2022年</c:v>
                </c:pt>
                <c:pt idx="4">
                  <c:v>2023年</c:v>
                </c:pt>
              </c:strCache>
            </c:strRef>
          </c:cat>
          <c:val>
            <c:numRef>
              <c:f>Sheet1!$D$3:$D$7</c:f>
              <c:numCache>
                <c:formatCode>General</c:formatCode>
                <c:ptCount val="5"/>
                <c:pt idx="0">
                  <c:v>8469</c:v>
                </c:pt>
                <c:pt idx="1">
                  <c:v>9900</c:v>
                </c:pt>
                <c:pt idx="2">
                  <c:v>12407</c:v>
                </c:pt>
                <c:pt idx="3">
                  <c:v>16270</c:v>
                </c:pt>
                <c:pt idx="4">
                  <c:v>19717</c:v>
                </c:pt>
              </c:numCache>
            </c:numRef>
          </c:val>
        </c:ser>
        <c:dLbls>
          <c:showLegendKey val="0"/>
          <c:showVal val="0"/>
          <c:showCatName val="0"/>
          <c:showSerName val="0"/>
          <c:showPercent val="0"/>
          <c:showBubbleSize val="0"/>
        </c:dLbls>
        <c:gapWidth val="219"/>
        <c:overlap val="-27"/>
        <c:axId val="1366684959"/>
        <c:axId val="1366681599"/>
      </c:barChart>
      <c:catAx>
        <c:axId val="136668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1599"/>
        <c:crosses val="autoZero"/>
        <c:auto val="1"/>
        <c:lblAlgn val="ctr"/>
        <c:lblOffset val="100"/>
        <c:noMultiLvlLbl val="0"/>
      </c:catAx>
      <c:valAx>
        <c:axId val="1366681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4959"/>
        <c:crosses val="autoZero"/>
        <c:crossBetween val="between"/>
      </c:valAx>
      <c:spPr>
        <a:noFill/>
        <a:ln>
          <a:noFill/>
        </a:ln>
        <a:effectLst/>
      </c:spPr>
    </c:plotArea>
    <c:plotVisOnly val="1"/>
    <c:dispBlanksAs val="gap"/>
    <c:showDLblsOverMax val="0"/>
    <c:extLst>
      <c:ext uri="{0b15fc19-7d7d-44ad-8c2d-2c3a37ce22c3}">
        <chartProps xmlns="https://web.wps.cn/et/2018/main" chartId="{424916b5-f85a-44fb-8630-a71939fe918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000" b="0">
                <a:latin typeface="宋体" panose="02010600030101010101" charset="-122"/>
                <a:ea typeface="宋体" panose="02010600030101010101" charset="-122"/>
              </a:rPr>
              <a:t>单位：亿元</a:t>
            </a:r>
            <a:endParaRPr lang="zh-CN" altLang="en-US" sz="1000" b="0">
              <a:latin typeface="宋体" panose="02010600030101010101" charset="-122"/>
              <a:ea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2019年</c:v>
                </c:pt>
                <c:pt idx="1">
                  <c:v>2020年</c:v>
                </c:pt>
                <c:pt idx="2">
                  <c:v>2021年</c:v>
                </c:pt>
                <c:pt idx="3">
                  <c:v>2022年</c:v>
                </c:pt>
                <c:pt idx="4">
                  <c:v>2023年</c:v>
                </c:pt>
              </c:strCache>
            </c:strRef>
          </c:cat>
          <c:val>
            <c:numRef>
              <c:f>Sheet1!$D$3:$D$7</c:f>
              <c:numCache>
                <c:formatCode>General</c:formatCode>
                <c:ptCount val="5"/>
                <c:pt idx="0">
                  <c:v>6513.47</c:v>
                </c:pt>
                <c:pt idx="1">
                  <c:v>7785.71</c:v>
                </c:pt>
                <c:pt idx="2">
                  <c:v>10387.77</c:v>
                </c:pt>
                <c:pt idx="3">
                  <c:v>16051.6</c:v>
                </c:pt>
                <c:pt idx="4">
                  <c:v>8198.5</c:v>
                </c:pt>
              </c:numCache>
            </c:numRef>
          </c:val>
        </c:ser>
        <c:dLbls>
          <c:showLegendKey val="0"/>
          <c:showVal val="0"/>
          <c:showCatName val="0"/>
          <c:showSerName val="0"/>
          <c:showPercent val="0"/>
          <c:showBubbleSize val="0"/>
        </c:dLbls>
        <c:gapWidth val="219"/>
        <c:overlap val="-27"/>
        <c:axId val="1366684959"/>
        <c:axId val="1366681599"/>
      </c:barChart>
      <c:catAx>
        <c:axId val="136668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1599"/>
        <c:crosses val="autoZero"/>
        <c:auto val="1"/>
        <c:lblAlgn val="ctr"/>
        <c:lblOffset val="100"/>
        <c:noMultiLvlLbl val="0"/>
      </c:catAx>
      <c:valAx>
        <c:axId val="1366681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4959"/>
        <c:crosses val="autoZero"/>
        <c:crossBetween val="between"/>
      </c:valAx>
      <c:spPr>
        <a:noFill/>
        <a:ln>
          <a:noFill/>
        </a:ln>
        <a:effectLst/>
      </c:spPr>
    </c:plotArea>
    <c:plotVisOnly val="1"/>
    <c:dispBlanksAs val="gap"/>
    <c:showDLblsOverMax val="0"/>
    <c:extLst>
      <c:ext uri="{0b15fc19-7d7d-44ad-8c2d-2c3a37ce22c3}">
        <chartProps xmlns="https://web.wps.cn/et/2018/main" chartId="{386ee2e4-ebb4-4fe5-be71-70f236bc09b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000" b="0">
                <a:latin typeface="宋体" panose="02010600030101010101" charset="-122"/>
                <a:ea typeface="宋体" panose="02010600030101010101" charset="-122"/>
              </a:rPr>
              <a:t>单位：亿元</a:t>
            </a:r>
            <a:endParaRPr lang="zh-CN" altLang="en-US" sz="1000" b="0">
              <a:latin typeface="宋体" panose="02010600030101010101" charset="-122"/>
              <a:ea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2019年</c:v>
                </c:pt>
                <c:pt idx="1">
                  <c:v>2020年</c:v>
                </c:pt>
                <c:pt idx="2">
                  <c:v>2021年</c:v>
                </c:pt>
                <c:pt idx="3">
                  <c:v>2022年</c:v>
                </c:pt>
                <c:pt idx="4">
                  <c:v>2023年</c:v>
                </c:pt>
              </c:strCache>
            </c:strRef>
          </c:cat>
          <c:val>
            <c:numRef>
              <c:f>Sheet1!$D$3:$D$7</c:f>
              <c:numCache>
                <c:formatCode>General</c:formatCode>
                <c:ptCount val="5"/>
                <c:pt idx="0">
                  <c:v>5994.48</c:v>
                </c:pt>
                <c:pt idx="1">
                  <c:v>7178.16</c:v>
                </c:pt>
                <c:pt idx="2">
                  <c:v>9472.83</c:v>
                </c:pt>
                <c:pt idx="3">
                  <c:v>12809.59</c:v>
                </c:pt>
                <c:pt idx="4">
                  <c:v>6684.2</c:v>
                </c:pt>
              </c:numCache>
            </c:numRef>
          </c:val>
        </c:ser>
        <c:dLbls>
          <c:showLegendKey val="0"/>
          <c:showVal val="0"/>
          <c:showCatName val="0"/>
          <c:showSerName val="0"/>
          <c:showPercent val="0"/>
          <c:showBubbleSize val="0"/>
        </c:dLbls>
        <c:gapWidth val="219"/>
        <c:overlap val="-27"/>
        <c:axId val="1366684959"/>
        <c:axId val="1366681599"/>
      </c:barChart>
      <c:catAx>
        <c:axId val="136668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1599"/>
        <c:crosses val="autoZero"/>
        <c:auto val="1"/>
        <c:lblAlgn val="ctr"/>
        <c:lblOffset val="100"/>
        <c:noMultiLvlLbl val="0"/>
      </c:catAx>
      <c:valAx>
        <c:axId val="1366681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4959"/>
        <c:crosses val="autoZero"/>
        <c:crossBetween val="between"/>
      </c:valAx>
      <c:spPr>
        <a:noFill/>
        <a:ln>
          <a:noFill/>
        </a:ln>
        <a:effectLst/>
      </c:spPr>
    </c:plotArea>
    <c:plotVisOnly val="1"/>
    <c:dispBlanksAs val="gap"/>
    <c:showDLblsOverMax val="0"/>
    <c:extLst>
      <c:ext uri="{0b15fc19-7d7d-44ad-8c2d-2c3a37ce22c3}">
        <chartProps xmlns="https://web.wps.cn/et/2018/main" chartId="{6dd1d2a3-6924-444a-bd11-36417e1c800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000" b="0">
                <a:latin typeface="宋体" panose="02010600030101010101" charset="-122"/>
                <a:ea typeface="宋体" panose="02010600030101010101" charset="-122"/>
              </a:rPr>
              <a:t>单位：亿元</a:t>
            </a:r>
            <a:endParaRPr lang="zh-CN" altLang="en-US" sz="1000" b="0">
              <a:latin typeface="宋体" panose="02010600030101010101" charset="-122"/>
              <a:ea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2019年</c:v>
                </c:pt>
                <c:pt idx="1">
                  <c:v>2020年</c:v>
                </c:pt>
                <c:pt idx="2">
                  <c:v>2021年</c:v>
                </c:pt>
                <c:pt idx="3">
                  <c:v>2022年</c:v>
                </c:pt>
                <c:pt idx="4">
                  <c:v>2023年</c:v>
                </c:pt>
              </c:strCache>
            </c:strRef>
          </c:cat>
          <c:val>
            <c:numRef>
              <c:f>Sheet1!$D$3:$D$7</c:f>
              <c:numCache>
                <c:formatCode>General</c:formatCode>
                <c:ptCount val="5"/>
                <c:pt idx="0">
                  <c:v>1486.13</c:v>
                </c:pt>
                <c:pt idx="1">
                  <c:v>1590.76</c:v>
                </c:pt>
                <c:pt idx="2">
                  <c:v>1720.33</c:v>
                </c:pt>
                <c:pt idx="3">
                  <c:v>1677.5</c:v>
                </c:pt>
                <c:pt idx="4">
                  <c:v>1676.4</c:v>
                </c:pt>
              </c:numCache>
            </c:numRef>
          </c:val>
        </c:ser>
        <c:dLbls>
          <c:showLegendKey val="0"/>
          <c:showVal val="0"/>
          <c:showCatName val="0"/>
          <c:showSerName val="0"/>
          <c:showPercent val="0"/>
          <c:showBubbleSize val="0"/>
        </c:dLbls>
        <c:gapWidth val="219"/>
        <c:overlap val="-27"/>
        <c:axId val="1366684959"/>
        <c:axId val="1366681599"/>
      </c:barChart>
      <c:catAx>
        <c:axId val="136668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1599"/>
        <c:crosses val="autoZero"/>
        <c:auto val="1"/>
        <c:lblAlgn val="ctr"/>
        <c:lblOffset val="100"/>
        <c:noMultiLvlLbl val="0"/>
      </c:catAx>
      <c:valAx>
        <c:axId val="1366681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4959"/>
        <c:crosses val="autoZero"/>
        <c:crossBetween val="between"/>
      </c:valAx>
      <c:spPr>
        <a:noFill/>
        <a:ln>
          <a:noFill/>
        </a:ln>
        <a:effectLst/>
      </c:spPr>
    </c:plotArea>
    <c:plotVisOnly val="1"/>
    <c:dispBlanksAs val="gap"/>
    <c:showDLblsOverMax val="0"/>
    <c:extLst>
      <c:ext uri="{0b15fc19-7d7d-44ad-8c2d-2c3a37ce22c3}">
        <chartProps xmlns="https://web.wps.cn/et/2018/main" chartId="{1c730c18-d449-4754-910a-82aad8441aa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000" b="0">
                <a:latin typeface="宋体" panose="02010600030101010101" charset="-122"/>
                <a:ea typeface="宋体" panose="02010600030101010101" charset="-122"/>
              </a:rPr>
              <a:t>单位：亿元</a:t>
            </a:r>
            <a:endParaRPr lang="zh-CN" altLang="en-US" sz="1000" b="0">
              <a:latin typeface="宋体" panose="02010600030101010101" charset="-122"/>
              <a:ea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2019年</c:v>
                </c:pt>
                <c:pt idx="1">
                  <c:v>2020年</c:v>
                </c:pt>
                <c:pt idx="2">
                  <c:v>2021年</c:v>
                </c:pt>
                <c:pt idx="3">
                  <c:v>2022年</c:v>
                </c:pt>
                <c:pt idx="4">
                  <c:v>2023年</c:v>
                </c:pt>
              </c:strCache>
            </c:strRef>
          </c:cat>
          <c:val>
            <c:numRef>
              <c:f>Sheet1!$D$3:$D$7</c:f>
              <c:numCache>
                <c:formatCode>General</c:formatCode>
                <c:ptCount val="5"/>
                <c:pt idx="0">
                  <c:v>4508.35</c:v>
                </c:pt>
                <c:pt idx="1">
                  <c:v>5587.4</c:v>
                </c:pt>
                <c:pt idx="2">
                  <c:v>7752.5</c:v>
                </c:pt>
                <c:pt idx="3">
                  <c:v>11132.1</c:v>
                </c:pt>
                <c:pt idx="4">
                  <c:v>5007.8</c:v>
                </c:pt>
              </c:numCache>
            </c:numRef>
          </c:val>
        </c:ser>
        <c:dLbls>
          <c:showLegendKey val="0"/>
          <c:showVal val="0"/>
          <c:showCatName val="0"/>
          <c:showSerName val="0"/>
          <c:showPercent val="0"/>
          <c:showBubbleSize val="0"/>
        </c:dLbls>
        <c:gapWidth val="219"/>
        <c:overlap val="-27"/>
        <c:axId val="1366684959"/>
        <c:axId val="1366681599"/>
      </c:barChart>
      <c:catAx>
        <c:axId val="136668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1599"/>
        <c:crosses val="autoZero"/>
        <c:auto val="1"/>
        <c:lblAlgn val="ctr"/>
        <c:lblOffset val="100"/>
        <c:noMultiLvlLbl val="0"/>
      </c:catAx>
      <c:valAx>
        <c:axId val="1366681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4959"/>
        <c:crosses val="autoZero"/>
        <c:crossBetween val="between"/>
      </c:valAx>
      <c:spPr>
        <a:noFill/>
        <a:ln>
          <a:noFill/>
        </a:ln>
        <a:effectLst/>
      </c:spPr>
    </c:plotArea>
    <c:plotVisOnly val="1"/>
    <c:dispBlanksAs val="gap"/>
    <c:showDLblsOverMax val="0"/>
    <c:extLst>
      <c:ext uri="{0b15fc19-7d7d-44ad-8c2d-2c3a37ce22c3}">
        <chartProps xmlns="https://web.wps.cn/et/2018/main" chartId="{f315f899-e501-4a92-9c1d-786b4d4e84e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dPt>
          <c:dPt>
            <c:idx val="6"/>
            <c:bubble3D val="0"/>
            <c:spPr>
              <a:solidFill>
                <a:schemeClr val="accent1">
                  <a:lumMod val="60000"/>
                </a:schemeClr>
              </a:solidFill>
              <a:ln w="25400">
                <a:solidFill>
                  <a:schemeClr val="lt1"/>
                </a:solidFill>
              </a:ln>
              <a:effectLst/>
              <a:scene3d>
                <a:camera prst="orthographicFront"/>
                <a:lightRig rig="threePt" dir="t"/>
              </a:scene3d>
              <a:sp3d contourW="25400">
                <a:contourClr>
                  <a:schemeClr val="lt1"/>
                </a:contourClr>
              </a:sp3d>
            </c:spPr>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Sheet1!$B$31:$H$31</c:f>
              <c:strCache>
                <c:ptCount val="7"/>
                <c:pt idx="0">
                  <c:v>国有企业</c:v>
                </c:pt>
                <c:pt idx="1">
                  <c:v>集体企业</c:v>
                </c:pt>
                <c:pt idx="2">
                  <c:v>股份合作</c:v>
                </c:pt>
                <c:pt idx="3">
                  <c:v>有限责任</c:v>
                </c:pt>
                <c:pt idx="4">
                  <c:v>股份有限</c:v>
                </c:pt>
                <c:pt idx="5">
                  <c:v>私营企业</c:v>
                </c:pt>
                <c:pt idx="6">
                  <c:v>其他类型</c:v>
                </c:pt>
              </c:strCache>
            </c:strRef>
          </c:cat>
          <c:val>
            <c:numRef>
              <c:f>Sheet1!$B$32:$H$32</c:f>
              <c:numCache>
                <c:formatCode>General</c:formatCode>
                <c:ptCount val="7"/>
                <c:pt idx="0">
                  <c:v>890</c:v>
                </c:pt>
                <c:pt idx="1">
                  <c:v>42</c:v>
                </c:pt>
                <c:pt idx="2">
                  <c:v>64</c:v>
                </c:pt>
                <c:pt idx="3">
                  <c:v>7572</c:v>
                </c:pt>
                <c:pt idx="4">
                  <c:v>1115</c:v>
                </c:pt>
                <c:pt idx="5">
                  <c:v>9511</c:v>
                </c:pt>
                <c:pt idx="6">
                  <c:v>523</c:v>
                </c:pt>
              </c:numCache>
            </c:numRef>
          </c:val>
        </c:ser>
        <c:ser>
          <c:idx val="1"/>
          <c:order val="1"/>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dPt>
          <c:dPt>
            <c:idx val="6"/>
            <c:bubble3D val="0"/>
            <c:spPr>
              <a:solidFill>
                <a:schemeClr val="accent1">
                  <a:lumMod val="60000"/>
                </a:schemeClr>
              </a:solidFill>
              <a:ln w="25400">
                <a:solidFill>
                  <a:schemeClr val="lt1"/>
                </a:solidFill>
              </a:ln>
              <a:effectLst/>
              <a:scene3d>
                <a:camera prst="orthographicFront"/>
                <a:lightRig rig="threePt" dir="t"/>
              </a:scene3d>
              <a:sp3d contourW="25400">
                <a:contourClr>
                  <a:schemeClr val="lt1"/>
                </a:contourClr>
              </a:sp3d>
            </c:spPr>
          </c:dPt>
          <c:dLbls>
            <c:delete val="1"/>
          </c:dLbls>
          <c:cat>
            <c:strRef>
              <c:f>Sheet1!$B$31:$H$31</c:f>
              <c:strCache>
                <c:ptCount val="7"/>
                <c:pt idx="0">
                  <c:v>国有企业</c:v>
                </c:pt>
                <c:pt idx="1">
                  <c:v>集体企业</c:v>
                </c:pt>
                <c:pt idx="2">
                  <c:v>股份合作</c:v>
                </c:pt>
                <c:pt idx="3">
                  <c:v>有限责任</c:v>
                </c:pt>
                <c:pt idx="4">
                  <c:v>股份有限</c:v>
                </c:pt>
                <c:pt idx="5">
                  <c:v>私营企业</c:v>
                </c:pt>
                <c:pt idx="6">
                  <c:v>其他类型</c:v>
                </c:pt>
              </c:strCache>
            </c:strRef>
          </c:cat>
          <c:val>
            <c:numRef>
              <c:f>Sheet1!$B$33:$H$33</c:f>
              <c:numCache>
                <c:formatCode>0.00%</c:formatCode>
                <c:ptCount val="7"/>
                <c:pt idx="0">
                  <c:v>0.0451</c:v>
                </c:pt>
                <c:pt idx="1">
                  <c:v>0.0021</c:v>
                </c:pt>
                <c:pt idx="2">
                  <c:v>0.0032</c:v>
                </c:pt>
                <c:pt idx="3">
                  <c:v>0.384</c:v>
                </c:pt>
                <c:pt idx="4">
                  <c:v>0.0566</c:v>
                </c:pt>
                <c:pt idx="5">
                  <c:v>0.4824</c:v>
                </c:pt>
                <c:pt idx="6">
                  <c:v>0.0265</c:v>
                </c:pt>
              </c:numCache>
            </c:numRef>
          </c:val>
        </c:ser>
        <c:dLbls>
          <c:showLegendKey val="0"/>
          <c:showVal val="0"/>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1d246c3-0e4f-4353-8b77-5867173efaf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dPt>
          <c:dPt>
            <c:idx val="6"/>
            <c:bubble3D val="0"/>
            <c:spPr>
              <a:solidFill>
                <a:schemeClr val="accent1">
                  <a:lumMod val="60000"/>
                </a:schemeClr>
              </a:solidFill>
              <a:ln w="25400">
                <a:solidFill>
                  <a:schemeClr val="lt1"/>
                </a:solidFill>
              </a:ln>
              <a:effectLst/>
              <a:scene3d>
                <a:camera prst="orthographicFront"/>
                <a:lightRig rig="threePt" dir="t"/>
              </a:scene3d>
              <a:sp3d contourW="25400">
                <a:contourClr>
                  <a:schemeClr val="lt1"/>
                </a:contourClr>
              </a:sp3d>
            </c:spPr>
          </c:dPt>
          <c:dPt>
            <c:idx val="7"/>
            <c:bubble3D val="0"/>
            <c:spPr>
              <a:solidFill>
                <a:schemeClr val="accent2">
                  <a:lumMod val="60000"/>
                </a:schemeClr>
              </a:solidFill>
              <a:ln w="25400">
                <a:solidFill>
                  <a:schemeClr val="lt1"/>
                </a:solidFill>
              </a:ln>
              <a:effectLst/>
              <a:scene3d>
                <a:camera prst="orthographicFront"/>
                <a:lightRig rig="threePt" dir="t"/>
              </a:scene3d>
              <a:sp3d contourW="25400">
                <a:contourClr>
                  <a:schemeClr val="lt1"/>
                </a:contourClr>
              </a:sp3d>
            </c:spPr>
          </c:dPt>
          <c:dPt>
            <c:idx val="8"/>
            <c:bubble3D val="0"/>
            <c:spPr>
              <a:solidFill>
                <a:schemeClr val="accent3">
                  <a:lumMod val="60000"/>
                </a:schemeClr>
              </a:solidFill>
              <a:ln w="25400">
                <a:solidFill>
                  <a:schemeClr val="lt1"/>
                </a:solidFill>
              </a:ln>
              <a:effectLst/>
              <a:scene3d>
                <a:camera prst="orthographicFront"/>
                <a:lightRig rig="threePt" dir="t"/>
              </a:scene3d>
              <a:sp3d contourW="25400">
                <a:contourClr>
                  <a:schemeClr val="lt1"/>
                </a:contourClr>
              </a:sp3d>
            </c:spPr>
          </c:dPt>
          <c:dPt>
            <c:idx val="9"/>
            <c:bubble3D val="0"/>
            <c:spPr>
              <a:solidFill>
                <a:schemeClr val="accent4">
                  <a:lumMod val="60000"/>
                </a:schemeClr>
              </a:solidFill>
              <a:ln w="25400">
                <a:solidFill>
                  <a:schemeClr val="lt1"/>
                </a:solidFill>
              </a:ln>
              <a:effectLst/>
              <a:scene3d>
                <a:camera prst="orthographicFront"/>
                <a:lightRig rig="threePt" dir="t"/>
              </a:scene3d>
              <a:sp3d contourW="25400">
                <a:contourClr>
                  <a:schemeClr val="lt1"/>
                </a:contourClr>
              </a:sp3d>
            </c:spPr>
          </c:dPt>
          <c:dPt>
            <c:idx val="10"/>
            <c:bubble3D val="0"/>
            <c:spPr>
              <a:solidFill>
                <a:schemeClr val="accent5">
                  <a:lumMod val="60000"/>
                </a:schemeClr>
              </a:solidFill>
              <a:ln w="25400">
                <a:solidFill>
                  <a:schemeClr val="lt1"/>
                </a:solidFill>
              </a:ln>
              <a:effectLst/>
              <a:scene3d>
                <a:camera prst="orthographicFront"/>
                <a:lightRig rig="threePt" dir="t"/>
              </a:scene3d>
              <a:sp3d contourW="25400">
                <a:contourClr>
                  <a:schemeClr val="lt1"/>
                </a:contourClr>
              </a:sp3d>
            </c:spPr>
          </c:dPt>
          <c:dPt>
            <c:idx val="11"/>
            <c:bubble3D val="0"/>
            <c:spPr>
              <a:solidFill>
                <a:schemeClr val="accent6">
                  <a:lumMod val="60000"/>
                </a:schemeClr>
              </a:solidFill>
              <a:ln w="25400">
                <a:solidFill>
                  <a:schemeClr val="lt1"/>
                </a:solidFill>
              </a:ln>
              <a:effectLst/>
              <a:scene3d>
                <a:camera prst="orthographicFront"/>
                <a:lightRig rig="threePt" dir="t"/>
              </a:scene3d>
              <a:sp3d contourW="25400">
                <a:contourClr>
                  <a:schemeClr val="lt1"/>
                </a:contourClr>
              </a:sp3d>
            </c:spPr>
          </c:dPt>
          <c:dPt>
            <c:idx val="12"/>
            <c:bubble3D val="0"/>
            <c:spPr>
              <a:solidFill>
                <a:schemeClr val="accent1">
                  <a:lumMod val="80000"/>
                  <a:lumOff val="20000"/>
                </a:schemeClr>
              </a:solidFill>
              <a:ln w="25400">
                <a:solidFill>
                  <a:schemeClr val="lt1"/>
                </a:solidFill>
              </a:ln>
              <a:effectLst/>
              <a:scene3d>
                <a:camera prst="orthographicFront"/>
                <a:lightRig rig="threePt" dir="t"/>
              </a:scene3d>
              <a:sp3d contourW="25400">
                <a:contourClr>
                  <a:schemeClr val="lt1"/>
                </a:contourClr>
              </a:sp3d>
            </c:spPr>
          </c:dPt>
          <c:dPt>
            <c:idx val="13"/>
            <c:bubble3D val="0"/>
            <c:spPr>
              <a:solidFill>
                <a:schemeClr val="accent2">
                  <a:lumMod val="80000"/>
                  <a:lumOff val="20000"/>
                </a:schemeClr>
              </a:solidFill>
              <a:ln w="25400">
                <a:solidFill>
                  <a:schemeClr val="lt1"/>
                </a:solidFill>
              </a:ln>
              <a:effectLst/>
              <a:scene3d>
                <a:camera prst="orthographicFront"/>
                <a:lightRig rig="threePt" dir="t"/>
              </a:scene3d>
              <a:sp3d contourW="25400">
                <a:contourClr>
                  <a:schemeClr val="lt1"/>
                </a:contourClr>
              </a:sp3d>
            </c:spPr>
          </c:dPt>
          <c:dPt>
            <c:idx val="14"/>
            <c:bubble3D val="0"/>
            <c:spPr>
              <a:solidFill>
                <a:schemeClr val="accent3">
                  <a:lumMod val="80000"/>
                  <a:lumOff val="20000"/>
                </a:schemeClr>
              </a:solidFill>
              <a:ln w="25400">
                <a:solidFill>
                  <a:schemeClr val="lt1"/>
                </a:solidFill>
              </a:ln>
              <a:effectLst/>
              <a:scene3d>
                <a:camera prst="orthographicFront"/>
                <a:lightRig rig="threePt" dir="t"/>
              </a:scene3d>
              <a:sp3d contourW="25400">
                <a:contourClr>
                  <a:schemeClr val="lt1"/>
                </a:contourClr>
              </a:sp3d>
            </c:spPr>
          </c:dPt>
          <c:dPt>
            <c:idx val="15"/>
            <c:bubble3D val="0"/>
            <c:spPr>
              <a:solidFill>
                <a:schemeClr val="accent4">
                  <a:lumMod val="80000"/>
                  <a:lumOff val="20000"/>
                </a:schemeClr>
              </a:solidFill>
              <a:ln w="25400">
                <a:solidFill>
                  <a:schemeClr val="lt1"/>
                </a:solidFill>
              </a:ln>
              <a:effectLst/>
              <a:scene3d>
                <a:camera prst="orthographicFront"/>
                <a:lightRig rig="threePt" dir="t"/>
              </a:scene3d>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Sheet1!$B$37:$Q$37</c:f>
              <c:strCache>
                <c:ptCount val="16"/>
                <c:pt idx="0">
                  <c:v>房屋建筑工程</c:v>
                </c:pt>
                <c:pt idx="1">
                  <c:v>冶炼工程</c:v>
                </c:pt>
                <c:pt idx="2">
                  <c:v>矿山工程</c:v>
                </c:pt>
                <c:pt idx="3">
                  <c:v>石油化工工程</c:v>
                </c:pt>
                <c:pt idx="4">
                  <c:v>水利水电工程</c:v>
                </c:pt>
                <c:pt idx="5">
                  <c:v>电力工程</c:v>
                </c:pt>
                <c:pt idx="6">
                  <c:v>农林工程</c:v>
                </c:pt>
                <c:pt idx="7">
                  <c:v>铁路工程</c:v>
                </c:pt>
                <c:pt idx="8">
                  <c:v>公路工程</c:v>
                </c:pt>
                <c:pt idx="9">
                  <c:v>港口与航道工程</c:v>
                </c:pt>
                <c:pt idx="10">
                  <c:v>航天航空工程</c:v>
                </c:pt>
                <c:pt idx="11">
                  <c:v>通信工程</c:v>
                </c:pt>
                <c:pt idx="12">
                  <c:v>市政公用工程</c:v>
                </c:pt>
                <c:pt idx="13">
                  <c:v>机电安装工程</c:v>
                </c:pt>
                <c:pt idx="14">
                  <c:v>综合资质</c:v>
                </c:pt>
                <c:pt idx="15">
                  <c:v>事务所资质</c:v>
                </c:pt>
              </c:strCache>
            </c:strRef>
          </c:cat>
          <c:val>
            <c:numRef>
              <c:f>Sheet1!$B$38:$Q$38</c:f>
              <c:numCache>
                <c:formatCode>0.00%</c:formatCode>
                <c:ptCount val="16"/>
                <c:pt idx="0">
                  <c:v>0.7375</c:v>
                </c:pt>
                <c:pt idx="1">
                  <c:v>0.0013</c:v>
                </c:pt>
                <c:pt idx="2">
                  <c:v>0.0043</c:v>
                </c:pt>
                <c:pt idx="3">
                  <c:v>0.0093</c:v>
                </c:pt>
                <c:pt idx="4">
                  <c:v>0.0063</c:v>
                </c:pt>
                <c:pt idx="5">
                  <c:v>0.0338</c:v>
                </c:pt>
                <c:pt idx="6">
                  <c:v>0.0005</c:v>
                </c:pt>
                <c:pt idx="7">
                  <c:v>0.003</c:v>
                </c:pt>
                <c:pt idx="8">
                  <c:v>0.003</c:v>
                </c:pt>
                <c:pt idx="9">
                  <c:v>0.0007</c:v>
                </c:pt>
                <c:pt idx="10">
                  <c:v>0.0005</c:v>
                </c:pt>
                <c:pt idx="11">
                  <c:v>0.0047</c:v>
                </c:pt>
                <c:pt idx="12">
                  <c:v>0.175</c:v>
                </c:pt>
                <c:pt idx="13">
                  <c:v>0.0024</c:v>
                </c:pt>
                <c:pt idx="14">
                  <c:v>0.0177</c:v>
                </c:pt>
                <c:pt idx="15">
                  <c:v>0.0001</c:v>
                </c:pt>
              </c:numCache>
            </c:numRef>
          </c:val>
        </c:ser>
        <c:dLbls>
          <c:showLegendKey val="0"/>
          <c:showVal val="0"/>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42edf3b-7d99-4552-83e9-d0fed19fae4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000" b="0">
                <a:latin typeface="宋体" panose="02010600030101010101" charset="-122"/>
                <a:ea typeface="宋体" panose="02010600030101010101" charset="-122"/>
              </a:rPr>
              <a:t>单位：万人</a:t>
            </a:r>
            <a:endParaRPr lang="zh-CN" altLang="en-US" sz="1000" b="0">
              <a:latin typeface="宋体" panose="02010600030101010101" charset="-122"/>
              <a:ea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2019年</c:v>
                </c:pt>
                <c:pt idx="1">
                  <c:v>2020年</c:v>
                </c:pt>
                <c:pt idx="2">
                  <c:v>2021年</c:v>
                </c:pt>
                <c:pt idx="3">
                  <c:v>2022年</c:v>
                </c:pt>
                <c:pt idx="4">
                  <c:v>2023年</c:v>
                </c:pt>
              </c:strCache>
            </c:strRef>
          </c:cat>
          <c:val>
            <c:numRef>
              <c:f>Sheet1!$D$3:$D$7</c:f>
              <c:numCache>
                <c:formatCode>General</c:formatCode>
                <c:ptCount val="5"/>
                <c:pt idx="0">
                  <c:v>129.57</c:v>
                </c:pt>
                <c:pt idx="1">
                  <c:v>139.36</c:v>
                </c:pt>
                <c:pt idx="2">
                  <c:v>166.96</c:v>
                </c:pt>
                <c:pt idx="3">
                  <c:v>193.1</c:v>
                </c:pt>
                <c:pt idx="4">
                  <c:v>210.8</c:v>
                </c:pt>
              </c:numCache>
            </c:numRef>
          </c:val>
        </c:ser>
        <c:dLbls>
          <c:showLegendKey val="0"/>
          <c:showVal val="0"/>
          <c:showCatName val="0"/>
          <c:showSerName val="0"/>
          <c:showPercent val="0"/>
          <c:showBubbleSize val="0"/>
        </c:dLbls>
        <c:gapWidth val="219"/>
        <c:overlap val="-27"/>
        <c:axId val="1366684959"/>
        <c:axId val="1366681599"/>
      </c:barChart>
      <c:catAx>
        <c:axId val="136668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1599"/>
        <c:crosses val="autoZero"/>
        <c:auto val="1"/>
        <c:lblAlgn val="ctr"/>
        <c:lblOffset val="100"/>
        <c:noMultiLvlLbl val="0"/>
      </c:catAx>
      <c:valAx>
        <c:axId val="1366681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4959"/>
        <c:crosses val="autoZero"/>
        <c:crossBetween val="between"/>
      </c:valAx>
      <c:spPr>
        <a:noFill/>
        <a:ln>
          <a:noFill/>
        </a:ln>
        <a:effectLst/>
      </c:spPr>
    </c:plotArea>
    <c:plotVisOnly val="1"/>
    <c:dispBlanksAs val="gap"/>
    <c:showDLblsOverMax val="0"/>
    <c:extLst>
      <c:ext uri="{0b15fc19-7d7d-44ad-8c2d-2c3a37ce22c3}">
        <chartProps xmlns="https://web.wps.cn/et/2018/main" chartId="{049694bc-e708-4361-88c4-b95284dc35e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Sheet1!$B$32:$C$32</c:f>
              <c:strCache>
                <c:ptCount val="2"/>
                <c:pt idx="0">
                  <c:v>正式聘用人员</c:v>
                </c:pt>
                <c:pt idx="1">
                  <c:v>临时聘用人员</c:v>
                </c:pt>
              </c:strCache>
            </c:strRef>
          </c:cat>
          <c:val>
            <c:numRef>
              <c:f>Sheet1!$B$33:$C$33</c:f>
              <c:numCache>
                <c:formatCode>General</c:formatCode>
                <c:ptCount val="2"/>
                <c:pt idx="0">
                  <c:v>124.8</c:v>
                </c:pt>
                <c:pt idx="1">
                  <c:v>86</c:v>
                </c:pt>
              </c:numCache>
            </c:numRef>
          </c:val>
        </c:ser>
        <c:ser>
          <c:idx val="1"/>
          <c:order val="1"/>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Lbls>
            <c:delete val="1"/>
          </c:dLbls>
          <c:cat>
            <c:strRef>
              <c:f>Sheet1!$B$32:$C$32</c:f>
              <c:strCache>
                <c:ptCount val="2"/>
                <c:pt idx="0">
                  <c:v>正式聘用人员</c:v>
                </c:pt>
                <c:pt idx="1">
                  <c:v>临时聘用人员</c:v>
                </c:pt>
              </c:strCache>
            </c:strRef>
          </c:cat>
          <c:val>
            <c:numRef>
              <c:f>Sheet1!$B$34:$C$34</c:f>
              <c:numCache>
                <c:formatCode>0.0%</c:formatCode>
                <c:ptCount val="2"/>
                <c:pt idx="0">
                  <c:v>0.592</c:v>
                </c:pt>
                <c:pt idx="1">
                  <c:v>0.408</c:v>
                </c:pt>
              </c:numCache>
            </c:numRef>
          </c:val>
        </c:ser>
        <c:dLbls>
          <c:showLegendKey val="0"/>
          <c:showVal val="0"/>
          <c:showCatName val="0"/>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e09dab00-74bd-4d91-a9e6-0d97abcc24b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Sheet1!$B$37:$E$37</c:f>
              <c:strCache>
                <c:ptCount val="4"/>
                <c:pt idx="0">
                  <c:v>高级职称人员</c:v>
                </c:pt>
                <c:pt idx="1">
                  <c:v>中级职称人员</c:v>
                </c:pt>
                <c:pt idx="2">
                  <c:v>初级职称人员</c:v>
                </c:pt>
                <c:pt idx="3">
                  <c:v>其他人员</c:v>
                </c:pt>
              </c:strCache>
            </c:strRef>
          </c:cat>
          <c:val>
            <c:numRef>
              <c:f>Sheet1!$B$38:$E$38</c:f>
              <c:numCache>
                <c:formatCode>General</c:formatCode>
                <c:ptCount val="4"/>
                <c:pt idx="0">
                  <c:v>23.9</c:v>
                </c:pt>
                <c:pt idx="1">
                  <c:v>50.8</c:v>
                </c:pt>
                <c:pt idx="2">
                  <c:v>26.3</c:v>
                </c:pt>
                <c:pt idx="3">
                  <c:v>22.8</c:v>
                </c:pt>
              </c:numCache>
            </c:numRef>
          </c:val>
        </c:ser>
        <c:ser>
          <c:idx val="1"/>
          <c:order val="1"/>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Lbls>
            <c:delete val="1"/>
          </c:dLbls>
          <c:cat>
            <c:strRef>
              <c:f>Sheet1!$B$37:$E$37</c:f>
              <c:strCache>
                <c:ptCount val="4"/>
                <c:pt idx="0">
                  <c:v>高级职称人员</c:v>
                </c:pt>
                <c:pt idx="1">
                  <c:v>中级职称人员</c:v>
                </c:pt>
                <c:pt idx="2">
                  <c:v>初级职称人员</c:v>
                </c:pt>
                <c:pt idx="3">
                  <c:v>其他人员</c:v>
                </c:pt>
              </c:strCache>
            </c:strRef>
          </c:cat>
          <c:val>
            <c:numRef>
              <c:f>Sheet1!$B$39:$E$39</c:f>
              <c:numCache>
                <c:formatCode>0.00%</c:formatCode>
                <c:ptCount val="4"/>
                <c:pt idx="0">
                  <c:v>0.1931</c:v>
                </c:pt>
                <c:pt idx="1">
                  <c:v>0.4103</c:v>
                </c:pt>
                <c:pt idx="2">
                  <c:v>0.2124</c:v>
                </c:pt>
                <c:pt idx="3">
                  <c:v>0.1842</c:v>
                </c:pt>
              </c:numCache>
            </c:numRef>
          </c:val>
        </c:ser>
        <c:dLbls>
          <c:showLegendKey val="0"/>
          <c:showVal val="0"/>
          <c:showCatName val="0"/>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c071a088-bb81-489e-95f2-c0fb848c7db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Sheet1!$B$42:$C$42</c:f>
              <c:strCache>
                <c:ptCount val="2"/>
                <c:pt idx="0">
                  <c:v>注册监理工程师</c:v>
                </c:pt>
                <c:pt idx="1">
                  <c:v>其他注册执业人员</c:v>
                </c:pt>
              </c:strCache>
            </c:strRef>
          </c:cat>
          <c:val>
            <c:numRef>
              <c:f>Sheet1!$B$43:$C$43</c:f>
              <c:numCache>
                <c:formatCode>General</c:formatCode>
                <c:ptCount val="2"/>
                <c:pt idx="0">
                  <c:v>33.9</c:v>
                </c:pt>
                <c:pt idx="1">
                  <c:v>37.5</c:v>
                </c:pt>
              </c:numCache>
            </c:numRef>
          </c:val>
        </c:ser>
        <c:ser>
          <c:idx val="1"/>
          <c:order val="1"/>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Lbls>
            <c:delete val="1"/>
          </c:dLbls>
          <c:cat>
            <c:strRef>
              <c:f>Sheet1!$B$42:$C$42</c:f>
              <c:strCache>
                <c:ptCount val="2"/>
                <c:pt idx="0">
                  <c:v>注册监理工程师</c:v>
                </c:pt>
                <c:pt idx="1">
                  <c:v>其他注册执业人员</c:v>
                </c:pt>
              </c:strCache>
            </c:strRef>
          </c:cat>
          <c:val>
            <c:numRef>
              <c:f>Sheet1!$B$44:$C$44</c:f>
              <c:numCache>
                <c:formatCode>0.00%</c:formatCode>
                <c:ptCount val="2"/>
                <c:pt idx="0">
                  <c:v>0.4748</c:v>
                </c:pt>
                <c:pt idx="1">
                  <c:v>0.5252</c:v>
                </c:pt>
              </c:numCache>
            </c:numRef>
          </c:val>
        </c:ser>
        <c:dLbls>
          <c:showLegendKey val="0"/>
          <c:showVal val="0"/>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j-ea"/>
              <a:ea typeface="+mj-ea"/>
              <a:cs typeface="+mn-cs"/>
            </a:defRPr>
          </a:pPr>
        </a:p>
      </c:txPr>
    </c:legend>
    <c:plotVisOnly val="1"/>
    <c:dispBlanksAs val="gap"/>
    <c:showDLblsOverMax val="0"/>
    <c:extLst>
      <c:ext uri="{0b15fc19-7d7d-44ad-8c2d-2c3a37ce22c3}">
        <chartProps xmlns="https://web.wps.cn/et/2018/main" chartId="{997f13fd-794d-47fb-8675-877d3315522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000" b="0">
                <a:latin typeface="宋体" panose="02010600030101010101" charset="-122"/>
                <a:ea typeface="宋体" panose="02010600030101010101" charset="-122"/>
              </a:rPr>
              <a:t>单位：亿元</a:t>
            </a:r>
            <a:endParaRPr lang="zh-CN" altLang="en-US" sz="1000" b="0">
              <a:latin typeface="宋体" panose="02010600030101010101" charset="-122"/>
              <a:ea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2019年</c:v>
                </c:pt>
                <c:pt idx="1">
                  <c:v>2020年</c:v>
                </c:pt>
                <c:pt idx="2">
                  <c:v>2021年</c:v>
                </c:pt>
                <c:pt idx="3">
                  <c:v>2022年</c:v>
                </c:pt>
                <c:pt idx="4">
                  <c:v>2023年</c:v>
                </c:pt>
              </c:strCache>
            </c:strRef>
          </c:cat>
          <c:val>
            <c:numRef>
              <c:f>Sheet1!$D$3:$D$7</c:f>
              <c:numCache>
                <c:formatCode>General</c:formatCode>
                <c:ptCount val="5"/>
                <c:pt idx="0">
                  <c:v>8500.94</c:v>
                </c:pt>
                <c:pt idx="1">
                  <c:v>9951.73</c:v>
                </c:pt>
                <c:pt idx="2">
                  <c:v>12491.65</c:v>
                </c:pt>
                <c:pt idx="3">
                  <c:v>18108.3</c:v>
                </c:pt>
                <c:pt idx="4">
                  <c:v>10222.7</c:v>
                </c:pt>
              </c:numCache>
            </c:numRef>
          </c:val>
        </c:ser>
        <c:dLbls>
          <c:showLegendKey val="0"/>
          <c:showVal val="0"/>
          <c:showCatName val="0"/>
          <c:showSerName val="0"/>
          <c:showPercent val="0"/>
          <c:showBubbleSize val="0"/>
        </c:dLbls>
        <c:gapWidth val="219"/>
        <c:overlap val="-27"/>
        <c:axId val="1366684959"/>
        <c:axId val="1366681599"/>
      </c:barChart>
      <c:catAx>
        <c:axId val="136668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1599"/>
        <c:crosses val="autoZero"/>
        <c:auto val="1"/>
        <c:lblAlgn val="ctr"/>
        <c:lblOffset val="100"/>
        <c:noMultiLvlLbl val="0"/>
      </c:catAx>
      <c:valAx>
        <c:axId val="1366681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4959"/>
        <c:crosses val="autoZero"/>
        <c:crossBetween val="between"/>
      </c:valAx>
      <c:spPr>
        <a:noFill/>
        <a:ln>
          <a:noFill/>
        </a:ln>
        <a:effectLst/>
      </c:spPr>
    </c:plotArea>
    <c:plotVisOnly val="1"/>
    <c:dispBlanksAs val="gap"/>
    <c:showDLblsOverMax val="0"/>
    <c:extLst>
      <c:ext uri="{0b15fc19-7d7d-44ad-8c2d-2c3a37ce22c3}">
        <chartProps xmlns="https://web.wps.cn/et/2018/main" chartId="{a7cc463a-5eec-404f-93ce-319098c093c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000" b="0">
                <a:latin typeface="宋体" panose="02010600030101010101" charset="-122"/>
                <a:ea typeface="宋体" panose="02010600030101010101" charset="-122"/>
              </a:rPr>
              <a:t>单位：亿元</a:t>
            </a:r>
            <a:endParaRPr lang="zh-CN" altLang="en-US" sz="1000" b="0">
              <a:latin typeface="宋体" panose="02010600030101010101" charset="-122"/>
              <a:ea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Sheet1!$C$3:$C$7</c:f>
              <c:strCache>
                <c:ptCount val="5"/>
                <c:pt idx="0">
                  <c:v>2019年</c:v>
                </c:pt>
                <c:pt idx="1">
                  <c:v>2020年</c:v>
                </c:pt>
                <c:pt idx="2">
                  <c:v>2021年</c:v>
                </c:pt>
                <c:pt idx="3">
                  <c:v>2022年</c:v>
                </c:pt>
                <c:pt idx="4">
                  <c:v>2023年</c:v>
                </c:pt>
              </c:strCache>
            </c:strRef>
          </c:cat>
          <c:val>
            <c:numRef>
              <c:f>Sheet1!$D$3:$D$7</c:f>
              <c:numCache>
                <c:formatCode>General</c:formatCode>
                <c:ptCount val="5"/>
                <c:pt idx="0">
                  <c:v>1987.47</c:v>
                </c:pt>
                <c:pt idx="1">
                  <c:v>2166.02</c:v>
                </c:pt>
                <c:pt idx="2">
                  <c:v>2103.88</c:v>
                </c:pt>
                <c:pt idx="3">
                  <c:v>2056.7</c:v>
                </c:pt>
                <c:pt idx="4">
                  <c:v>2024.2</c:v>
                </c:pt>
              </c:numCache>
            </c:numRef>
          </c:val>
        </c:ser>
        <c:dLbls>
          <c:showLegendKey val="0"/>
          <c:showVal val="0"/>
          <c:showCatName val="0"/>
          <c:showSerName val="0"/>
          <c:showPercent val="0"/>
          <c:showBubbleSize val="0"/>
        </c:dLbls>
        <c:gapWidth val="219"/>
        <c:overlap val="-27"/>
        <c:axId val="1366684959"/>
        <c:axId val="1366681599"/>
      </c:barChart>
      <c:catAx>
        <c:axId val="136668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1599"/>
        <c:crosses val="autoZero"/>
        <c:auto val="1"/>
        <c:lblAlgn val="ctr"/>
        <c:lblOffset val="100"/>
        <c:noMultiLvlLbl val="0"/>
      </c:catAx>
      <c:valAx>
        <c:axId val="1366681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6684959"/>
        <c:crosses val="autoZero"/>
        <c:crossBetween val="between"/>
      </c:valAx>
      <c:spPr>
        <a:noFill/>
        <a:ln>
          <a:noFill/>
        </a:ln>
        <a:effectLst/>
      </c:spPr>
    </c:plotArea>
    <c:plotVisOnly val="1"/>
    <c:dispBlanksAs val="gap"/>
    <c:showDLblsOverMax val="0"/>
    <c:extLst>
      <c:ext uri="{0b15fc19-7d7d-44ad-8c2d-2c3a37ce22c3}">
        <chartProps xmlns="https://web.wps.cn/et/2018/main" chartId="{fd89908e-0abe-4560-ba53-9c35d970d18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40</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2025-01-08T08:12:25Z</dcterms:created>
  <dc:creator>DELL</dc:creator>
  <cp:lastModifiedBy>步小囍儿</cp:lastModifiedBy>
  <dcterms:modified xsi:type="dcterms:W3CDTF">2025-01-08T08:12:36Z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76620B2B690A40DC97F89448D8DCECB0_12</vt:lpwstr>
  </property>
</Properties>
</file>